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1B350" w14:textId="77777777" w:rsidR="009A41D6" w:rsidRDefault="009A41D6">
      <w:pPr>
        <w:jc w:val="center"/>
        <w:rPr>
          <w:rFonts w:ascii="Roboto" w:hAnsi="Roboto"/>
          <w:b/>
          <w:bCs/>
          <w:sz w:val="32"/>
          <w:szCs w:val="32"/>
        </w:rPr>
      </w:pPr>
    </w:p>
    <w:p w14:paraId="67336BCD" w14:textId="77777777" w:rsidR="009A41D6" w:rsidRDefault="009A41D6">
      <w:pPr>
        <w:jc w:val="center"/>
        <w:rPr>
          <w:rFonts w:ascii="Roboto" w:hAnsi="Roboto"/>
          <w:b/>
          <w:bCs/>
          <w:sz w:val="32"/>
          <w:szCs w:val="32"/>
        </w:rPr>
      </w:pPr>
    </w:p>
    <w:p w14:paraId="7D65E32C" w14:textId="77777777" w:rsidR="00B54122" w:rsidRDefault="00B54122">
      <w:pPr>
        <w:jc w:val="center"/>
        <w:rPr>
          <w:rFonts w:ascii="Roboto" w:hAnsi="Roboto"/>
          <w:b/>
          <w:bCs/>
          <w:sz w:val="32"/>
          <w:szCs w:val="32"/>
        </w:rPr>
      </w:pPr>
    </w:p>
    <w:p w14:paraId="662A213B" w14:textId="76148A48" w:rsidR="00B54122" w:rsidRDefault="00B54122">
      <w:pPr>
        <w:jc w:val="center"/>
        <w:rPr>
          <w:rFonts w:ascii="Roboto" w:hAnsi="Roboto"/>
          <w:b/>
          <w:bCs/>
          <w:sz w:val="32"/>
          <w:szCs w:val="32"/>
        </w:rPr>
      </w:pPr>
    </w:p>
    <w:p w14:paraId="1F193247" w14:textId="1458856D" w:rsidR="00B54122" w:rsidRDefault="00130779">
      <w:pPr>
        <w:jc w:val="center"/>
        <w:rPr>
          <w:rFonts w:ascii="Roboto" w:hAnsi="Roboto"/>
          <w:b/>
          <w:bCs/>
          <w:sz w:val="32"/>
          <w:szCs w:val="32"/>
        </w:rPr>
      </w:pPr>
      <w:r>
        <w:rPr>
          <w:noProof/>
        </w:rPr>
        <w:drawing>
          <wp:anchor distT="0" distB="0" distL="114300" distR="114300" simplePos="0" relativeHeight="251659264" behindDoc="1" locked="0" layoutInCell="1" allowOverlap="1" wp14:anchorId="2E771B1E" wp14:editId="09D210CD">
            <wp:simplePos x="0" y="0"/>
            <wp:positionH relativeFrom="margin">
              <wp:align>center</wp:align>
            </wp:positionH>
            <wp:positionV relativeFrom="paragraph">
              <wp:posOffset>17174</wp:posOffset>
            </wp:positionV>
            <wp:extent cx="1799590" cy="789305"/>
            <wp:effectExtent l="0" t="0" r="0" b="0"/>
            <wp:wrapTight wrapText="bothSides">
              <wp:wrapPolygon edited="0">
                <wp:start x="0" y="0"/>
                <wp:lineTo x="0" y="20853"/>
                <wp:lineTo x="21265" y="20853"/>
                <wp:lineTo x="21265" y="0"/>
                <wp:lineTo x="0" y="0"/>
              </wp:wrapPolygon>
            </wp:wrapTight>
            <wp:docPr id="420544098" name="Picture 17" descr="Royal Osteoporosis Society - JustG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 Osteoporosis Society - JustGiv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9590" cy="789305"/>
                    </a:xfrm>
                    <a:prstGeom prst="rect">
                      <a:avLst/>
                    </a:prstGeom>
                    <a:noFill/>
                    <a:ln>
                      <a:noFill/>
                    </a:ln>
                  </pic:spPr>
                </pic:pic>
              </a:graphicData>
            </a:graphic>
          </wp:anchor>
        </w:drawing>
      </w:r>
    </w:p>
    <w:p w14:paraId="40A05287" w14:textId="1CEB0FE9" w:rsidR="00B54122" w:rsidRDefault="00B54122">
      <w:pPr>
        <w:jc w:val="center"/>
        <w:rPr>
          <w:rFonts w:ascii="Roboto" w:hAnsi="Roboto"/>
          <w:b/>
          <w:bCs/>
          <w:sz w:val="32"/>
          <w:szCs w:val="32"/>
        </w:rPr>
      </w:pPr>
    </w:p>
    <w:p w14:paraId="246ABA3F" w14:textId="77777777" w:rsidR="00B54122" w:rsidRDefault="00B54122">
      <w:pPr>
        <w:jc w:val="center"/>
        <w:rPr>
          <w:rFonts w:ascii="Roboto" w:hAnsi="Roboto"/>
          <w:b/>
          <w:bCs/>
          <w:sz w:val="32"/>
          <w:szCs w:val="32"/>
        </w:rPr>
      </w:pPr>
    </w:p>
    <w:p w14:paraId="6639CCD5" w14:textId="7D05C886" w:rsidR="00B54122" w:rsidRDefault="00B54122">
      <w:pPr>
        <w:jc w:val="center"/>
        <w:rPr>
          <w:rFonts w:ascii="Roboto" w:hAnsi="Roboto"/>
          <w:b/>
          <w:bCs/>
          <w:sz w:val="32"/>
          <w:szCs w:val="32"/>
        </w:rPr>
      </w:pPr>
    </w:p>
    <w:p w14:paraId="4590909D" w14:textId="77777777" w:rsidR="00B54122" w:rsidRDefault="00B54122">
      <w:pPr>
        <w:jc w:val="center"/>
        <w:rPr>
          <w:rFonts w:ascii="Roboto" w:hAnsi="Roboto"/>
          <w:b/>
          <w:bCs/>
          <w:sz w:val="32"/>
          <w:szCs w:val="32"/>
        </w:rPr>
      </w:pPr>
    </w:p>
    <w:p w14:paraId="11754D5D" w14:textId="77777777" w:rsidR="00A46B5D" w:rsidRPr="00510ECF" w:rsidRDefault="00A46B5D" w:rsidP="00A46B5D">
      <w:pPr>
        <w:jc w:val="center"/>
        <w:rPr>
          <w:rFonts w:ascii="Trade Gothic Next HvyCd" w:eastAsiaTheme="minorHAnsi" w:hAnsi="Trade Gothic Next HvyCd" w:cstheme="minorBidi"/>
          <w:caps/>
          <w:color w:val="062A60"/>
          <w:kern w:val="2"/>
          <w:sz w:val="44"/>
          <w:szCs w:val="44"/>
          <w:lang w:eastAsia="en-US"/>
          <w14:ligatures w14:val="standardContextual"/>
        </w:rPr>
      </w:pPr>
      <w:r w:rsidRPr="00510ECF">
        <w:rPr>
          <w:rFonts w:ascii="Trade Gothic Next HvyCd" w:eastAsiaTheme="minorHAnsi" w:hAnsi="Trade Gothic Next HvyCd" w:cstheme="minorBidi"/>
          <w:caps/>
          <w:color w:val="062A60"/>
          <w:kern w:val="2"/>
          <w:sz w:val="44"/>
          <w:szCs w:val="44"/>
          <w:lang w:eastAsia="en-US"/>
          <w14:ligatures w14:val="standardContextual"/>
        </w:rPr>
        <w:t>Evidence to be used in support of FLS</w:t>
      </w:r>
    </w:p>
    <w:p w14:paraId="1322A965" w14:textId="0C34D030" w:rsidR="00510ECF" w:rsidRPr="00B679CE" w:rsidRDefault="00510ECF" w:rsidP="00510ECF">
      <w:pPr>
        <w:pStyle w:val="NoSpacing"/>
        <w:jc w:val="center"/>
      </w:pPr>
    </w:p>
    <w:p w14:paraId="525A1AF6" w14:textId="3F1499AE" w:rsidR="00B54122" w:rsidRDefault="00B54122">
      <w:pPr>
        <w:jc w:val="center"/>
        <w:rPr>
          <w:rFonts w:ascii="Roboto" w:hAnsi="Roboto"/>
          <w:b/>
          <w:bCs/>
          <w:sz w:val="32"/>
          <w:szCs w:val="32"/>
        </w:rPr>
      </w:pPr>
    </w:p>
    <w:p w14:paraId="4C2D94A6" w14:textId="77777777" w:rsidR="000E6999" w:rsidRPr="009A41D6" w:rsidRDefault="000E6999" w:rsidP="000E6999">
      <w:pPr>
        <w:rPr>
          <w:rFonts w:ascii="Roboto" w:eastAsiaTheme="minorHAnsi" w:hAnsi="Roboto" w:cstheme="minorBidi"/>
          <w:color w:val="062A60"/>
          <w:kern w:val="2"/>
          <w:sz w:val="24"/>
          <w:szCs w:val="24"/>
          <w:lang w:eastAsia="en-US"/>
          <w14:ligatures w14:val="standardContextual"/>
        </w:rPr>
      </w:pPr>
      <w:r w:rsidRPr="009A41D6">
        <w:rPr>
          <w:rFonts w:ascii="Roboto" w:eastAsiaTheme="minorHAnsi" w:hAnsi="Roboto" w:cstheme="minorBidi"/>
          <w:b/>
          <w:bCs/>
          <w:color w:val="062A60"/>
          <w:kern w:val="2"/>
          <w:sz w:val="24"/>
          <w:szCs w:val="24"/>
          <w:lang w:eastAsia="en-US"/>
          <w14:ligatures w14:val="standardContextual"/>
        </w:rPr>
        <w:t>Endnotes</w:t>
      </w:r>
      <w:r w:rsidRPr="009A41D6">
        <w:rPr>
          <w:rFonts w:ascii="Roboto" w:eastAsiaTheme="minorHAnsi" w:hAnsi="Roboto" w:cstheme="minorBidi"/>
          <w:color w:val="062A60"/>
          <w:kern w:val="2"/>
          <w:sz w:val="24"/>
          <w:szCs w:val="24"/>
          <w:lang w:eastAsia="en-US"/>
          <w14:ligatures w14:val="standardContextual"/>
        </w:rPr>
        <w:t xml:space="preserve"> – any text copied and pasted from this section into another MS Word document should automatically pull through reference information. These are placed and numbered automatically so that, if you move any text, the numbering will remain correct.</w:t>
      </w:r>
    </w:p>
    <w:p w14:paraId="723B9C8B" w14:textId="77777777" w:rsidR="00B54122" w:rsidRPr="009A41D6" w:rsidRDefault="00B54122">
      <w:pPr>
        <w:jc w:val="center"/>
        <w:rPr>
          <w:rFonts w:ascii="Roboto" w:eastAsiaTheme="minorHAnsi" w:hAnsi="Roboto" w:cstheme="minorBidi"/>
          <w:color w:val="062A60"/>
          <w:kern w:val="2"/>
          <w:sz w:val="24"/>
          <w:szCs w:val="24"/>
          <w:lang w:eastAsia="en-US"/>
          <w14:ligatures w14:val="standardContextual"/>
        </w:rPr>
      </w:pPr>
    </w:p>
    <w:p w14:paraId="4D984D17" w14:textId="77777777" w:rsidR="00850670" w:rsidRPr="009A41D6" w:rsidRDefault="00850670" w:rsidP="00850670">
      <w:pPr>
        <w:rPr>
          <w:rFonts w:ascii="Roboto" w:eastAsiaTheme="minorHAnsi" w:hAnsi="Roboto" w:cstheme="minorBidi"/>
          <w:b/>
          <w:bCs/>
          <w:color w:val="062A60"/>
          <w:kern w:val="2"/>
          <w:sz w:val="24"/>
          <w:szCs w:val="24"/>
          <w:lang w:eastAsia="en-US"/>
          <w14:ligatures w14:val="standardContextual"/>
        </w:rPr>
      </w:pPr>
      <w:r w:rsidRPr="009A41D6">
        <w:rPr>
          <w:rFonts w:ascii="Roboto" w:eastAsiaTheme="minorHAnsi" w:hAnsi="Roboto" w:cstheme="minorBidi"/>
          <w:b/>
          <w:bCs/>
          <w:color w:val="062A60"/>
          <w:kern w:val="2"/>
          <w:sz w:val="24"/>
          <w:szCs w:val="24"/>
          <w:lang w:eastAsia="en-US"/>
          <w14:ligatures w14:val="standardContextual"/>
        </w:rPr>
        <w:t xml:space="preserve">Disclaimer </w:t>
      </w:r>
    </w:p>
    <w:p w14:paraId="66D24471" w14:textId="2FF30168" w:rsidR="00850670" w:rsidRPr="009A41D6" w:rsidRDefault="00850670" w:rsidP="00850670">
      <w:pPr>
        <w:rPr>
          <w:rFonts w:ascii="Roboto" w:eastAsiaTheme="minorHAnsi" w:hAnsi="Roboto" w:cstheme="minorBidi"/>
          <w:color w:val="062A60"/>
          <w:kern w:val="2"/>
          <w:sz w:val="24"/>
          <w:szCs w:val="24"/>
          <w:lang w:eastAsia="en-US"/>
          <w14:ligatures w14:val="standardContextual"/>
        </w:rPr>
      </w:pPr>
      <w:r w:rsidRPr="009A41D6">
        <w:rPr>
          <w:rFonts w:ascii="Roboto" w:eastAsiaTheme="minorHAnsi" w:hAnsi="Roboto" w:cstheme="minorBidi"/>
          <w:color w:val="062A60"/>
          <w:kern w:val="2"/>
          <w:sz w:val="24"/>
          <w:szCs w:val="24"/>
          <w:lang w:eastAsia="en-US"/>
          <w14:ligatures w14:val="standardContextual"/>
        </w:rPr>
        <w:t>Every effort has been made to ensure that the information contained within this document is accurate at the time of writing.  There is no guarantee as to the accuracy or reliability of any information contained in this document.  Use of the information contained in this document is at the user’s risk, and the Royal Osteoporosis Society accepts no liability whatsoever.</w:t>
      </w:r>
    </w:p>
    <w:p w14:paraId="1037038F" w14:textId="77777777" w:rsidR="00B54122" w:rsidRPr="009A41D6" w:rsidRDefault="00B54122" w:rsidP="0075201D">
      <w:pPr>
        <w:rPr>
          <w:rFonts w:ascii="Roboto" w:eastAsiaTheme="minorHAnsi" w:hAnsi="Roboto" w:cstheme="minorBidi"/>
          <w:color w:val="062A60"/>
          <w:kern w:val="2"/>
          <w:sz w:val="24"/>
          <w:szCs w:val="24"/>
          <w:lang w:eastAsia="en-US"/>
          <w14:ligatures w14:val="standardContextual"/>
        </w:rPr>
      </w:pPr>
    </w:p>
    <w:p w14:paraId="3433DBFB" w14:textId="77777777" w:rsidR="004C026B" w:rsidRPr="009A41D6" w:rsidRDefault="004C026B" w:rsidP="004C026B">
      <w:pPr>
        <w:pStyle w:val="NoSpacing"/>
        <w:rPr>
          <w:rFonts w:ascii="Roboto" w:hAnsi="Roboto"/>
          <w:color w:val="062A60"/>
        </w:rPr>
      </w:pPr>
      <w:r w:rsidRPr="008269AF">
        <w:rPr>
          <w:rFonts w:ascii="Roboto" w:hAnsi="Roboto"/>
          <w:color w:val="062A60"/>
        </w:rPr>
        <w:t xml:space="preserve">If you have any feedback, feel that something is missing, or would like to provide additional information, please contact us at </w:t>
      </w:r>
      <w:hyperlink r:id="rId10" w:history="1">
        <w:r w:rsidRPr="009A41D6">
          <w:rPr>
            <w:color w:val="062A60"/>
          </w:rPr>
          <w:t>FLS@theros.org.uk</w:t>
        </w:r>
      </w:hyperlink>
      <w:r w:rsidRPr="008269AF">
        <w:rPr>
          <w:rFonts w:ascii="Roboto" w:hAnsi="Roboto"/>
          <w:color w:val="062A60"/>
        </w:rPr>
        <w:t>.</w:t>
      </w:r>
    </w:p>
    <w:p w14:paraId="1B50509A" w14:textId="77777777" w:rsidR="00B54122" w:rsidRDefault="00B54122">
      <w:pPr>
        <w:jc w:val="center"/>
        <w:rPr>
          <w:rFonts w:ascii="Roboto" w:hAnsi="Roboto"/>
          <w:b/>
          <w:bCs/>
          <w:sz w:val="32"/>
          <w:szCs w:val="32"/>
        </w:rPr>
      </w:pPr>
    </w:p>
    <w:p w14:paraId="35F8828F" w14:textId="77777777" w:rsidR="00B54122" w:rsidRDefault="00B54122">
      <w:pPr>
        <w:jc w:val="center"/>
        <w:rPr>
          <w:rFonts w:ascii="Roboto" w:hAnsi="Roboto"/>
          <w:b/>
          <w:bCs/>
          <w:sz w:val="32"/>
          <w:szCs w:val="32"/>
        </w:rPr>
      </w:pPr>
    </w:p>
    <w:p w14:paraId="62E4F831" w14:textId="77777777" w:rsidR="00B54122" w:rsidRDefault="00B54122">
      <w:pPr>
        <w:jc w:val="center"/>
        <w:rPr>
          <w:rFonts w:ascii="Roboto" w:hAnsi="Roboto"/>
          <w:b/>
          <w:bCs/>
          <w:sz w:val="32"/>
          <w:szCs w:val="32"/>
        </w:rPr>
      </w:pPr>
    </w:p>
    <w:p w14:paraId="2C128E0F" w14:textId="77777777" w:rsidR="00B54122" w:rsidRDefault="00B54122">
      <w:pPr>
        <w:jc w:val="center"/>
        <w:rPr>
          <w:rFonts w:ascii="Roboto" w:hAnsi="Roboto"/>
          <w:b/>
          <w:bCs/>
          <w:sz w:val="32"/>
          <w:szCs w:val="32"/>
        </w:rPr>
      </w:pPr>
    </w:p>
    <w:p w14:paraId="016AB6B7" w14:textId="77777777" w:rsidR="007A5C38" w:rsidRDefault="007A5C38">
      <w:pPr>
        <w:jc w:val="center"/>
        <w:rPr>
          <w:rFonts w:ascii="Roboto" w:hAnsi="Roboto"/>
          <w:b/>
          <w:bCs/>
          <w:sz w:val="32"/>
          <w:szCs w:val="32"/>
        </w:rPr>
      </w:pPr>
    </w:p>
    <w:p w14:paraId="6A391801" w14:textId="77777777" w:rsidR="00B54122" w:rsidRDefault="00B54122">
      <w:pPr>
        <w:jc w:val="center"/>
        <w:rPr>
          <w:rFonts w:ascii="Roboto" w:hAnsi="Roboto"/>
          <w:b/>
          <w:bCs/>
          <w:sz w:val="32"/>
          <w:szCs w:val="32"/>
        </w:rPr>
      </w:pPr>
    </w:p>
    <w:p w14:paraId="55EB8B70" w14:textId="77777777" w:rsidR="00B54122" w:rsidRDefault="00B54122">
      <w:pPr>
        <w:jc w:val="center"/>
        <w:rPr>
          <w:rFonts w:ascii="Roboto" w:hAnsi="Roboto"/>
          <w:b/>
          <w:bCs/>
          <w:sz w:val="32"/>
          <w:szCs w:val="32"/>
        </w:rPr>
      </w:pPr>
    </w:p>
    <w:p w14:paraId="6A831518" w14:textId="77777777" w:rsidR="00B54122" w:rsidRDefault="00B54122">
      <w:pPr>
        <w:jc w:val="center"/>
        <w:rPr>
          <w:rFonts w:ascii="Roboto" w:hAnsi="Roboto"/>
          <w:b/>
          <w:bCs/>
          <w:sz w:val="32"/>
          <w:szCs w:val="32"/>
        </w:rPr>
      </w:pPr>
    </w:p>
    <w:p w14:paraId="797B7B82" w14:textId="021440FE" w:rsidR="003D16B5" w:rsidRPr="002862AC" w:rsidRDefault="005851C8">
      <w:pPr>
        <w:jc w:val="center"/>
        <w:rPr>
          <w:rFonts w:ascii="Roboto" w:hAnsi="Roboto"/>
          <w:b/>
          <w:bCs/>
          <w:sz w:val="32"/>
          <w:szCs w:val="32"/>
        </w:rPr>
      </w:pPr>
      <w:r w:rsidRPr="002862AC">
        <w:rPr>
          <w:rFonts w:ascii="Roboto" w:hAnsi="Roboto"/>
          <w:b/>
          <w:bCs/>
          <w:sz w:val="32"/>
          <w:szCs w:val="32"/>
        </w:rPr>
        <w:lastRenderedPageBreak/>
        <w:t>Evidence</w:t>
      </w:r>
      <w:r w:rsidR="00A46B5D">
        <w:rPr>
          <w:rFonts w:ascii="Roboto" w:hAnsi="Roboto"/>
          <w:b/>
          <w:bCs/>
          <w:sz w:val="32"/>
          <w:szCs w:val="32"/>
        </w:rPr>
        <w:t xml:space="preserve"> to</w:t>
      </w:r>
      <w:r w:rsidR="009A6D2C">
        <w:rPr>
          <w:rFonts w:ascii="Roboto" w:hAnsi="Roboto"/>
          <w:b/>
          <w:bCs/>
          <w:sz w:val="32"/>
          <w:szCs w:val="32"/>
        </w:rPr>
        <w:t xml:space="preserve"> be used in support of FLS</w:t>
      </w:r>
    </w:p>
    <w:p w14:paraId="797B7B83" w14:textId="77777777" w:rsidR="003D16B5" w:rsidRPr="00ED0870" w:rsidRDefault="005851C8">
      <w:pPr>
        <w:rPr>
          <w:rFonts w:ascii="Roboto" w:hAnsi="Roboto"/>
        </w:rPr>
      </w:pPr>
      <w:r w:rsidRPr="00ED0870">
        <w:rPr>
          <w:rFonts w:ascii="Roboto" w:hAnsi="Roboto"/>
        </w:rPr>
        <w:t xml:space="preserve"> </w:t>
      </w:r>
    </w:p>
    <w:p w14:paraId="797B7B85" w14:textId="77777777" w:rsidR="003D16B5" w:rsidRPr="00ED0870" w:rsidRDefault="005851C8">
      <w:pPr>
        <w:rPr>
          <w:rFonts w:ascii="Roboto" w:eastAsia="Roboto" w:hAnsi="Roboto" w:cs="Roboto"/>
        </w:rPr>
      </w:pPr>
      <w:r w:rsidRPr="00ED0870">
        <w:rPr>
          <w:rFonts w:ascii="Roboto" w:eastAsia="Roboto" w:hAnsi="Roboto" w:cs="Roboto"/>
        </w:rPr>
        <w:t>A Fracture Liaison Service (FLS) systematically identifies, investigates, initiates treatment and integrates care for patients over the age of 50 who have suffered a fragility fracture, to reduce their risk of subsequent fractures.</w:t>
      </w:r>
    </w:p>
    <w:p w14:paraId="797B7B86" w14:textId="77777777" w:rsidR="003D16B5" w:rsidRPr="00ED0870" w:rsidRDefault="005851C8">
      <w:pPr>
        <w:rPr>
          <w:rFonts w:ascii="Roboto" w:eastAsia="Roboto" w:hAnsi="Roboto" w:cs="Roboto"/>
        </w:rPr>
      </w:pPr>
      <w:r w:rsidRPr="00ED0870">
        <w:rPr>
          <w:rFonts w:ascii="Roboto" w:eastAsia="Roboto" w:hAnsi="Roboto" w:cs="Roboto"/>
        </w:rPr>
        <w:t xml:space="preserve"> </w:t>
      </w:r>
    </w:p>
    <w:p w14:paraId="797B7B87" w14:textId="1B452FEC" w:rsidR="003D16B5" w:rsidRPr="00ED0870" w:rsidRDefault="005851C8">
      <w:pPr>
        <w:rPr>
          <w:rFonts w:ascii="Roboto" w:eastAsia="Roboto" w:hAnsi="Roboto" w:cs="Roboto"/>
        </w:rPr>
      </w:pPr>
      <w:r w:rsidRPr="00ED0870">
        <w:rPr>
          <w:rFonts w:ascii="Roboto" w:eastAsia="Roboto" w:hAnsi="Roboto" w:cs="Roboto"/>
        </w:rPr>
        <w:t>Fragility fractures are broken bones that result from mechanical forces that would not ordinarily cause a fracture, known as low-level (or 'low energy') trauma</w:t>
      </w:r>
      <w:r w:rsidR="003A1844" w:rsidRPr="00ED0870">
        <w:rPr>
          <w:rStyle w:val="EndnoteReference"/>
          <w:rFonts w:ascii="Roboto" w:eastAsia="Roboto" w:hAnsi="Roboto" w:cs="Roboto"/>
        </w:rPr>
        <w:endnoteReference w:id="1"/>
      </w:r>
    </w:p>
    <w:p w14:paraId="797B7B88" w14:textId="77777777" w:rsidR="003D16B5" w:rsidRPr="00ED0870" w:rsidRDefault="005851C8">
      <w:pPr>
        <w:rPr>
          <w:rFonts w:ascii="Roboto" w:eastAsia="Roboto" w:hAnsi="Roboto" w:cs="Roboto"/>
        </w:rPr>
      </w:pPr>
      <w:r w:rsidRPr="00ED0870">
        <w:rPr>
          <w:rFonts w:ascii="Roboto" w:eastAsia="Roboto" w:hAnsi="Roboto" w:cs="Roboto"/>
        </w:rPr>
        <w:t xml:space="preserve"> </w:t>
      </w:r>
    </w:p>
    <w:p w14:paraId="797B7B8B" w14:textId="2788D754" w:rsidR="003D16B5" w:rsidRPr="00ED0870" w:rsidRDefault="005851C8">
      <w:pPr>
        <w:rPr>
          <w:rFonts w:ascii="Roboto" w:eastAsia="Roboto" w:hAnsi="Roboto" w:cs="Roboto"/>
        </w:rPr>
      </w:pPr>
      <w:r w:rsidRPr="00ED0870">
        <w:rPr>
          <w:rFonts w:ascii="Roboto" w:eastAsia="Roboto" w:hAnsi="Roboto" w:cs="Roboto"/>
        </w:rPr>
        <w:t>Osteoporosis is a condition characterised by low bone mass and micro-architectural deterioration of bone tissue with a consequent increase in bone fragility and susceptibility to fracture</w:t>
      </w:r>
      <w:r w:rsidR="00B85C5B" w:rsidRPr="00ED0870">
        <w:rPr>
          <w:rStyle w:val="EndnoteReference"/>
          <w:rFonts w:ascii="Roboto" w:eastAsia="Roboto" w:hAnsi="Roboto" w:cs="Roboto"/>
        </w:rPr>
        <w:endnoteReference w:id="2"/>
      </w:r>
    </w:p>
    <w:p w14:paraId="797B7B8C" w14:textId="77777777" w:rsidR="003D16B5" w:rsidRPr="00ED0870" w:rsidRDefault="005851C8">
      <w:pPr>
        <w:rPr>
          <w:rFonts w:ascii="Roboto" w:eastAsia="Roboto" w:hAnsi="Roboto" w:cs="Roboto"/>
        </w:rPr>
      </w:pPr>
      <w:r w:rsidRPr="00ED0870">
        <w:rPr>
          <w:rFonts w:ascii="Roboto" w:eastAsia="Roboto" w:hAnsi="Roboto" w:cs="Roboto"/>
        </w:rPr>
        <w:t xml:space="preserve"> </w:t>
      </w:r>
    </w:p>
    <w:p w14:paraId="6DC48B21" w14:textId="77777777" w:rsidR="00E650BA" w:rsidRPr="00ED0870" w:rsidRDefault="00E650BA" w:rsidP="00E650BA">
      <w:pPr>
        <w:rPr>
          <w:rFonts w:ascii="Roboto" w:hAnsi="Roboto"/>
        </w:rPr>
      </w:pPr>
      <w:r w:rsidRPr="00063A45">
        <w:rPr>
          <w:rFonts w:ascii="Roboto" w:hAnsi="Roboto"/>
          <w:b/>
          <w:bCs/>
        </w:rPr>
        <w:t>Benefits and effectiveness of FLS</w:t>
      </w:r>
    </w:p>
    <w:p w14:paraId="281A698D" w14:textId="77777777" w:rsidR="00E650BA" w:rsidRPr="00ED0870" w:rsidRDefault="00E650BA" w:rsidP="00E650BA">
      <w:pPr>
        <w:rPr>
          <w:rFonts w:ascii="Roboto" w:eastAsia="Roboto" w:hAnsi="Roboto" w:cs="Roboto"/>
        </w:rPr>
      </w:pPr>
      <w:r w:rsidRPr="00ED0870">
        <w:rPr>
          <w:rFonts w:ascii="Roboto" w:eastAsia="Roboto" w:hAnsi="Roboto" w:cs="Roboto"/>
        </w:rPr>
        <w:t>The FLS model has demonstrated that it is uniquely effective in preventing secondary fractures by delivering assessments to 95-97% of at-risk patients within the local population as opposed to only 25% of patients being assessed with other service models</w:t>
      </w:r>
      <w:r w:rsidRPr="00ED0870">
        <w:rPr>
          <w:rStyle w:val="EndnoteReference"/>
          <w:rFonts w:ascii="Roboto" w:eastAsia="Roboto" w:hAnsi="Roboto" w:cs="Roboto"/>
        </w:rPr>
        <w:endnoteReference w:id="3"/>
      </w:r>
      <w:r w:rsidRPr="00ED0870">
        <w:rPr>
          <w:rFonts w:ascii="Roboto" w:eastAsia="Roboto" w:hAnsi="Roboto" w:cs="Roboto"/>
        </w:rPr>
        <w:t>.</w:t>
      </w:r>
    </w:p>
    <w:p w14:paraId="185003BE" w14:textId="77777777" w:rsidR="00E650BA" w:rsidRPr="00ED0870" w:rsidRDefault="00E650BA" w:rsidP="00E650BA">
      <w:pPr>
        <w:rPr>
          <w:rFonts w:ascii="Roboto" w:hAnsi="Roboto"/>
          <w:b/>
          <w:bCs/>
        </w:rPr>
      </w:pPr>
      <w:r w:rsidRPr="00ED0870">
        <w:rPr>
          <w:rFonts w:ascii="Roboto" w:hAnsi="Roboto"/>
          <w:b/>
          <w:bCs/>
        </w:rPr>
        <w:t xml:space="preserve"> </w:t>
      </w:r>
    </w:p>
    <w:p w14:paraId="50AC485E" w14:textId="77777777" w:rsidR="00E650BA" w:rsidRPr="00ED0870" w:rsidRDefault="00E650BA" w:rsidP="00E650BA">
      <w:pPr>
        <w:rPr>
          <w:rFonts w:ascii="Roboto" w:eastAsia="Roboto" w:hAnsi="Roboto" w:cs="Roboto"/>
        </w:rPr>
      </w:pPr>
      <w:r w:rsidRPr="00ED0870">
        <w:rPr>
          <w:rFonts w:ascii="Roboto" w:eastAsia="Roboto" w:hAnsi="Roboto" w:cs="Roboto"/>
        </w:rPr>
        <w:t>The FLS model is associated with increased treatment initiation and treatment adherence (65%–88% at 1 year)</w:t>
      </w:r>
      <w:r w:rsidRPr="00ED0870">
        <w:rPr>
          <w:rStyle w:val="EndnoteReference"/>
          <w:rFonts w:ascii="Roboto" w:eastAsia="Roboto" w:hAnsi="Roboto" w:cs="Roboto"/>
        </w:rPr>
        <w:endnoteReference w:id="4"/>
      </w:r>
      <w:r w:rsidRPr="00ED0870">
        <w:rPr>
          <w:rFonts w:ascii="Roboto" w:eastAsia="Roboto" w:hAnsi="Roboto" w:cs="Roboto"/>
        </w:rPr>
        <w:t xml:space="preserve">. </w:t>
      </w:r>
    </w:p>
    <w:p w14:paraId="7C612EC3" w14:textId="77777777" w:rsidR="00E650BA" w:rsidRPr="00ED0870" w:rsidRDefault="00E650BA" w:rsidP="00E650BA">
      <w:pPr>
        <w:rPr>
          <w:rFonts w:ascii="Roboto" w:hAnsi="Roboto"/>
          <w:b/>
          <w:bCs/>
        </w:rPr>
      </w:pPr>
      <w:r w:rsidRPr="00ED0870">
        <w:rPr>
          <w:rFonts w:ascii="Roboto" w:hAnsi="Roboto"/>
          <w:b/>
          <w:bCs/>
        </w:rPr>
        <w:t xml:space="preserve"> </w:t>
      </w:r>
    </w:p>
    <w:p w14:paraId="374BEF45" w14:textId="77777777" w:rsidR="00E650BA" w:rsidRPr="00ED0870" w:rsidRDefault="00E650BA" w:rsidP="00E650BA">
      <w:pPr>
        <w:rPr>
          <w:rFonts w:ascii="Roboto" w:eastAsia="Roboto" w:hAnsi="Roboto" w:cs="Roboto"/>
        </w:rPr>
      </w:pPr>
      <w:r w:rsidRPr="00ED0870">
        <w:rPr>
          <w:rFonts w:ascii="Roboto" w:eastAsia="Roboto" w:hAnsi="Roboto" w:cs="Roboto"/>
        </w:rPr>
        <w:t>Organisations with an FLS were found to have a 40% reduction in the 3-year risk of secondary fragility fractures to major bones and a 30% reduction of re-fracture to any bone compared with organisations without an FLS</w:t>
      </w:r>
      <w:r w:rsidRPr="00ED0870">
        <w:rPr>
          <w:rStyle w:val="EndnoteReference"/>
          <w:rFonts w:ascii="Roboto" w:eastAsia="Roboto" w:hAnsi="Roboto" w:cs="Roboto"/>
        </w:rPr>
        <w:endnoteReference w:id="5"/>
      </w:r>
    </w:p>
    <w:p w14:paraId="7726EA6D" w14:textId="77777777" w:rsidR="00E650BA" w:rsidRPr="00ED0870" w:rsidRDefault="00E650BA" w:rsidP="00E650BA">
      <w:pPr>
        <w:rPr>
          <w:rFonts w:ascii="Roboto" w:hAnsi="Roboto"/>
          <w:b/>
          <w:bCs/>
        </w:rPr>
      </w:pPr>
      <w:r w:rsidRPr="00ED0870">
        <w:rPr>
          <w:rFonts w:ascii="Roboto" w:hAnsi="Roboto"/>
          <w:b/>
          <w:bCs/>
        </w:rPr>
        <w:t xml:space="preserve"> </w:t>
      </w:r>
    </w:p>
    <w:p w14:paraId="2AFC58ED" w14:textId="77777777" w:rsidR="00E650BA" w:rsidRPr="00ED0870" w:rsidRDefault="00E650BA" w:rsidP="00E650BA">
      <w:pPr>
        <w:rPr>
          <w:rFonts w:ascii="Roboto" w:eastAsia="Roboto" w:hAnsi="Roboto" w:cs="Roboto"/>
        </w:rPr>
      </w:pPr>
      <w:r w:rsidRPr="00ED0870">
        <w:rPr>
          <w:rFonts w:ascii="Roboto" w:eastAsia="Roboto" w:hAnsi="Roboto" w:cs="Roboto"/>
        </w:rPr>
        <w:t>FLS is associated with reduced mortality, and it is cost-effective</w:t>
      </w:r>
      <w:r w:rsidRPr="00ED0870">
        <w:rPr>
          <w:rStyle w:val="EndnoteReference"/>
          <w:rFonts w:ascii="Roboto" w:eastAsia="Roboto" w:hAnsi="Roboto" w:cs="Roboto"/>
        </w:rPr>
        <w:endnoteReference w:id="6"/>
      </w:r>
    </w:p>
    <w:p w14:paraId="57EB0250" w14:textId="77777777" w:rsidR="00E650BA" w:rsidRDefault="00E650BA">
      <w:pPr>
        <w:rPr>
          <w:rFonts w:ascii="Roboto" w:hAnsi="Roboto"/>
          <w:b/>
          <w:bCs/>
        </w:rPr>
      </w:pPr>
    </w:p>
    <w:p w14:paraId="6588702C" w14:textId="77777777" w:rsidR="007B793E" w:rsidRDefault="007B793E">
      <w:pPr>
        <w:rPr>
          <w:kern w:val="2"/>
          <w14:ligatures w14:val="standardContextual"/>
        </w:rPr>
      </w:pPr>
      <w:r>
        <w:rPr>
          <w:rFonts w:ascii="Roboto" w:hAnsi="Roboto"/>
          <w:b/>
          <w:bCs/>
        </w:rPr>
        <w:t>Scale and prevalence of fragility fractures</w:t>
      </w:r>
    </w:p>
    <w:p w14:paraId="797B7B90" w14:textId="232C51D4" w:rsidR="003D16B5" w:rsidRPr="00ED0870" w:rsidRDefault="005851C8">
      <w:pPr>
        <w:rPr>
          <w:rFonts w:ascii="Roboto" w:eastAsia="Roboto" w:hAnsi="Roboto" w:cs="Roboto"/>
        </w:rPr>
      </w:pPr>
      <w:r w:rsidRPr="00ED0870">
        <w:rPr>
          <w:rFonts w:ascii="Roboto" w:eastAsia="Roboto" w:hAnsi="Roboto" w:cs="Roboto"/>
        </w:rPr>
        <w:t>It is estimated that currently every year in the UK there are more than 500,000 fragility fractures; that’s one every minute (1,400 a day)</w:t>
      </w:r>
      <w:r w:rsidR="00B85C5B" w:rsidRPr="00ED0870">
        <w:rPr>
          <w:rStyle w:val="EndnoteReference"/>
          <w:rFonts w:ascii="Roboto" w:eastAsia="Roboto" w:hAnsi="Roboto" w:cs="Roboto"/>
        </w:rPr>
        <w:endnoteReference w:id="7"/>
      </w:r>
    </w:p>
    <w:p w14:paraId="7A03F7AA" w14:textId="77777777" w:rsidR="00A65FA5" w:rsidRPr="00ED0870" w:rsidRDefault="00A65FA5">
      <w:pPr>
        <w:rPr>
          <w:rFonts w:ascii="Roboto" w:eastAsia="Roboto" w:hAnsi="Roboto" w:cs="Roboto"/>
        </w:rPr>
      </w:pPr>
    </w:p>
    <w:p w14:paraId="721CFAB9" w14:textId="77777777" w:rsidR="00A65FA5" w:rsidRPr="00ED0870" w:rsidRDefault="00A65FA5" w:rsidP="00A65FA5">
      <w:pPr>
        <w:pStyle w:val="NoSpacing"/>
        <w:rPr>
          <w:rFonts w:ascii="Roboto" w:hAnsi="Roboto"/>
          <w:sz w:val="22"/>
          <w:szCs w:val="22"/>
          <w:vertAlign w:val="superscript"/>
        </w:rPr>
      </w:pPr>
      <w:r w:rsidRPr="00ED0870">
        <w:rPr>
          <w:rFonts w:ascii="Roboto" w:hAnsi="Roboto"/>
          <w:sz w:val="22"/>
          <w:szCs w:val="22"/>
        </w:rPr>
        <w:t>Hip fractures are heart-attack-level events, as more than one in four people who break a hip die within a year</w:t>
      </w:r>
      <w:r w:rsidRPr="00ED0870">
        <w:rPr>
          <w:rStyle w:val="EndnoteReference"/>
          <w:rFonts w:ascii="Roboto" w:hAnsi="Roboto"/>
          <w:sz w:val="22"/>
          <w:szCs w:val="22"/>
        </w:rPr>
        <w:endnoteReference w:id="8"/>
      </w:r>
      <w:r w:rsidRPr="00ED0870">
        <w:rPr>
          <w:rFonts w:ascii="Roboto" w:hAnsi="Roboto"/>
          <w:sz w:val="22"/>
          <w:szCs w:val="22"/>
          <w:vertAlign w:val="superscript"/>
        </w:rPr>
        <w:t>,</w:t>
      </w:r>
      <w:r w:rsidRPr="00ED0870">
        <w:rPr>
          <w:rStyle w:val="EndnoteReference"/>
          <w:rFonts w:ascii="Roboto" w:hAnsi="Roboto"/>
          <w:sz w:val="22"/>
          <w:szCs w:val="22"/>
        </w:rPr>
        <w:endnoteReference w:id="9"/>
      </w:r>
    </w:p>
    <w:p w14:paraId="2E6EF796" w14:textId="77777777" w:rsidR="00A65FA5" w:rsidRPr="00ED0870" w:rsidRDefault="00A65FA5">
      <w:pPr>
        <w:rPr>
          <w:rFonts w:ascii="Roboto" w:eastAsia="Roboto" w:hAnsi="Roboto" w:cs="Roboto"/>
        </w:rPr>
      </w:pPr>
    </w:p>
    <w:p w14:paraId="3D6B4C3A" w14:textId="77777777" w:rsidR="004F17DE" w:rsidRPr="00ED0870" w:rsidRDefault="004F17DE" w:rsidP="004F17DE">
      <w:pPr>
        <w:pStyle w:val="NoSpacing"/>
        <w:rPr>
          <w:rFonts w:ascii="Roboto" w:hAnsi="Roboto"/>
          <w:sz w:val="22"/>
          <w:szCs w:val="22"/>
        </w:rPr>
      </w:pPr>
      <w:r w:rsidRPr="00ED0870">
        <w:rPr>
          <w:rFonts w:ascii="Roboto" w:hAnsi="Roboto"/>
          <w:sz w:val="22"/>
          <w:szCs w:val="22"/>
        </w:rPr>
        <w:t xml:space="preserve">Safe, effective medication which can prevent fractures  (e.g. </w:t>
      </w:r>
      <w:proofErr w:type="spellStart"/>
      <w:r w:rsidRPr="00ED0870">
        <w:rPr>
          <w:rFonts w:ascii="Roboto" w:hAnsi="Roboto"/>
          <w:sz w:val="22"/>
          <w:szCs w:val="22"/>
        </w:rPr>
        <w:t>alendronic</w:t>
      </w:r>
      <w:proofErr w:type="spellEnd"/>
      <w:r w:rsidRPr="00ED0870">
        <w:rPr>
          <w:rFonts w:ascii="Roboto" w:hAnsi="Roboto"/>
          <w:sz w:val="22"/>
          <w:szCs w:val="22"/>
        </w:rPr>
        <w:t xml:space="preserve"> acid) costs as little as £12 a year, or £1 a month.</w:t>
      </w:r>
      <w:r w:rsidRPr="00ED0870">
        <w:rPr>
          <w:rStyle w:val="EndnoteReference"/>
          <w:rFonts w:ascii="Roboto" w:hAnsi="Roboto"/>
          <w:sz w:val="22"/>
          <w:szCs w:val="22"/>
        </w:rPr>
        <w:endnoteReference w:id="10"/>
      </w:r>
    </w:p>
    <w:p w14:paraId="024DF30C" w14:textId="77777777" w:rsidR="00A94264" w:rsidRPr="00ED0870" w:rsidRDefault="00A94264">
      <w:pPr>
        <w:rPr>
          <w:rFonts w:ascii="Roboto" w:eastAsia="Roboto" w:hAnsi="Roboto" w:cs="Roboto"/>
        </w:rPr>
      </w:pPr>
    </w:p>
    <w:p w14:paraId="5660FA0D" w14:textId="77777777" w:rsidR="00A94264" w:rsidRPr="00ED0870" w:rsidRDefault="00A94264" w:rsidP="00A94264">
      <w:pPr>
        <w:pStyle w:val="NoSpacing"/>
        <w:rPr>
          <w:rFonts w:ascii="Roboto" w:hAnsi="Roboto"/>
          <w:sz w:val="22"/>
          <w:szCs w:val="22"/>
        </w:rPr>
      </w:pPr>
      <w:r w:rsidRPr="00ED0870">
        <w:rPr>
          <w:rFonts w:ascii="Roboto" w:hAnsi="Roboto"/>
          <w:sz w:val="22"/>
          <w:szCs w:val="22"/>
        </w:rPr>
        <w:t>In the year after fracture, vertebral fractures account for 14 additional GP visits.</w:t>
      </w:r>
      <w:r w:rsidRPr="00ED0870">
        <w:rPr>
          <w:rStyle w:val="EndnoteReference"/>
          <w:rFonts w:ascii="Roboto" w:hAnsi="Roboto"/>
          <w:sz w:val="22"/>
          <w:szCs w:val="22"/>
        </w:rPr>
        <w:endnoteReference w:id="11"/>
      </w:r>
    </w:p>
    <w:p w14:paraId="43439070" w14:textId="77777777" w:rsidR="008E6DB5" w:rsidRPr="00ED0870" w:rsidRDefault="008E6DB5" w:rsidP="00A94264">
      <w:pPr>
        <w:pStyle w:val="NoSpacing"/>
        <w:rPr>
          <w:rFonts w:ascii="Roboto" w:hAnsi="Roboto"/>
          <w:sz w:val="22"/>
          <w:szCs w:val="22"/>
        </w:rPr>
      </w:pPr>
    </w:p>
    <w:p w14:paraId="3B2A195C" w14:textId="77777777" w:rsidR="008E6DB5" w:rsidRPr="00ED0870" w:rsidRDefault="008E6DB5" w:rsidP="008E6DB5">
      <w:pPr>
        <w:pStyle w:val="NoSpacing"/>
        <w:rPr>
          <w:rFonts w:ascii="Roboto" w:hAnsi="Roboto"/>
          <w:sz w:val="22"/>
          <w:szCs w:val="22"/>
        </w:rPr>
      </w:pPr>
      <w:r w:rsidRPr="00ED0870">
        <w:rPr>
          <w:rFonts w:ascii="Roboto" w:hAnsi="Roboto"/>
          <w:sz w:val="22"/>
          <w:szCs w:val="22"/>
        </w:rPr>
        <w:t>Within five years of the occurrence of a vertebral fracture, one in ten will have a limb fracture, including a hip fracture</w:t>
      </w:r>
      <w:r w:rsidRPr="00ED0870">
        <w:rPr>
          <w:rStyle w:val="EndnoteReference"/>
          <w:rFonts w:ascii="Roboto" w:hAnsi="Roboto"/>
          <w:sz w:val="22"/>
          <w:szCs w:val="22"/>
        </w:rPr>
        <w:endnoteReference w:id="12"/>
      </w:r>
    </w:p>
    <w:p w14:paraId="35AAA314" w14:textId="77777777" w:rsidR="00CE587B" w:rsidRPr="00ED0870" w:rsidRDefault="00CE587B" w:rsidP="008E6DB5">
      <w:pPr>
        <w:pStyle w:val="NoSpacing"/>
        <w:rPr>
          <w:rFonts w:ascii="Roboto" w:hAnsi="Roboto"/>
          <w:sz w:val="22"/>
          <w:szCs w:val="22"/>
        </w:rPr>
      </w:pPr>
    </w:p>
    <w:p w14:paraId="4C3A5FEA" w14:textId="6E21A8C6" w:rsidR="00CE587B" w:rsidRPr="00ED0870" w:rsidRDefault="00CE587B" w:rsidP="00CE587B">
      <w:pPr>
        <w:pStyle w:val="NoSpacing"/>
        <w:rPr>
          <w:rFonts w:ascii="Roboto" w:hAnsi="Roboto"/>
          <w:sz w:val="22"/>
          <w:szCs w:val="22"/>
        </w:rPr>
      </w:pPr>
      <w:r w:rsidRPr="00ED0870">
        <w:rPr>
          <w:rFonts w:ascii="Roboto" w:hAnsi="Roboto"/>
          <w:sz w:val="22"/>
          <w:szCs w:val="22"/>
        </w:rPr>
        <w:t>By 2060</w:t>
      </w:r>
      <w:r w:rsidR="007812BC">
        <w:rPr>
          <w:rFonts w:ascii="Roboto" w:hAnsi="Roboto"/>
          <w:sz w:val="22"/>
          <w:szCs w:val="22"/>
        </w:rPr>
        <w:t>,</w:t>
      </w:r>
      <w:r w:rsidRPr="00ED0870">
        <w:rPr>
          <w:rFonts w:ascii="Roboto" w:hAnsi="Roboto"/>
          <w:sz w:val="22"/>
          <w:szCs w:val="22"/>
        </w:rPr>
        <w:t xml:space="preserve"> the number of hip fractures in England, Wales and Northern Ireland is estimated to increase by over 100 % compared with 2019.  In males, there was an estimated increase of 130% compared with 97% in females.</w:t>
      </w:r>
      <w:r w:rsidRPr="00ED0870">
        <w:rPr>
          <w:rStyle w:val="EndnoteReference"/>
          <w:rFonts w:ascii="Roboto" w:hAnsi="Roboto"/>
          <w:sz w:val="22"/>
          <w:szCs w:val="22"/>
        </w:rPr>
        <w:endnoteReference w:id="13"/>
      </w:r>
    </w:p>
    <w:p w14:paraId="767E7EDA" w14:textId="77777777" w:rsidR="00CE587B" w:rsidRPr="00ED0870" w:rsidRDefault="00CE587B" w:rsidP="00CE587B">
      <w:pPr>
        <w:pStyle w:val="NoSpacing"/>
        <w:rPr>
          <w:rFonts w:ascii="Roboto" w:hAnsi="Roboto"/>
          <w:sz w:val="22"/>
          <w:szCs w:val="22"/>
        </w:rPr>
      </w:pPr>
    </w:p>
    <w:p w14:paraId="6DD57225" w14:textId="77777777" w:rsidR="00CE587B" w:rsidRPr="00ED0870" w:rsidRDefault="00CE587B" w:rsidP="00CE587B">
      <w:pPr>
        <w:pStyle w:val="NoSpacing"/>
        <w:rPr>
          <w:rFonts w:ascii="Roboto" w:hAnsi="Roboto"/>
          <w:sz w:val="22"/>
          <w:szCs w:val="22"/>
        </w:rPr>
      </w:pPr>
      <w:r w:rsidRPr="00ED0870">
        <w:rPr>
          <w:rFonts w:ascii="Roboto" w:hAnsi="Roboto"/>
          <w:sz w:val="22"/>
          <w:szCs w:val="22"/>
        </w:rPr>
        <w:lastRenderedPageBreak/>
        <w:t>Almost a third, 29%, of osteoporosis patients prompted their own health assessment.</w:t>
      </w:r>
      <w:r w:rsidRPr="00ED0870">
        <w:rPr>
          <w:rStyle w:val="EndnoteReference"/>
          <w:rFonts w:ascii="Roboto" w:hAnsi="Roboto"/>
          <w:sz w:val="22"/>
          <w:szCs w:val="22"/>
        </w:rPr>
        <w:endnoteReference w:id="14"/>
      </w:r>
    </w:p>
    <w:p w14:paraId="3088E682" w14:textId="77777777" w:rsidR="00CE587B" w:rsidRPr="00ED0870" w:rsidRDefault="00CE587B" w:rsidP="00CE587B">
      <w:pPr>
        <w:pStyle w:val="NoSpacing"/>
        <w:rPr>
          <w:rFonts w:ascii="Roboto" w:hAnsi="Roboto"/>
          <w:sz w:val="22"/>
          <w:szCs w:val="22"/>
        </w:rPr>
      </w:pPr>
    </w:p>
    <w:p w14:paraId="0EFFE6D1" w14:textId="77777777" w:rsidR="00CE587B" w:rsidRPr="00ED0870" w:rsidRDefault="00CE587B" w:rsidP="00CE587B">
      <w:pPr>
        <w:pStyle w:val="NoSpacing"/>
        <w:rPr>
          <w:rFonts w:ascii="Roboto" w:hAnsi="Roboto"/>
          <w:sz w:val="22"/>
          <w:szCs w:val="22"/>
        </w:rPr>
      </w:pPr>
      <w:r w:rsidRPr="00ED0870">
        <w:rPr>
          <w:rFonts w:ascii="Roboto" w:hAnsi="Roboto"/>
          <w:sz w:val="22"/>
          <w:szCs w:val="22"/>
        </w:rPr>
        <w:t>People living in deprived areas are at a heightened risk of fracture, with men in the most deprived areas 50% more likely to have a fragility fracture than those in the least deprived areas.</w:t>
      </w:r>
      <w:r w:rsidRPr="00ED0870">
        <w:rPr>
          <w:rStyle w:val="EndnoteReference"/>
          <w:rFonts w:ascii="Roboto" w:hAnsi="Roboto"/>
          <w:sz w:val="22"/>
          <w:szCs w:val="22"/>
        </w:rPr>
        <w:endnoteReference w:id="15"/>
      </w:r>
    </w:p>
    <w:p w14:paraId="0A468E63" w14:textId="77777777" w:rsidR="00CE587B" w:rsidRPr="00ED0870" w:rsidRDefault="00CE587B" w:rsidP="00CE587B">
      <w:pPr>
        <w:pStyle w:val="NoSpacing"/>
        <w:rPr>
          <w:rFonts w:ascii="Roboto" w:hAnsi="Roboto"/>
          <w:sz w:val="22"/>
          <w:szCs w:val="22"/>
        </w:rPr>
      </w:pPr>
    </w:p>
    <w:p w14:paraId="4FD110C1" w14:textId="77777777" w:rsidR="00CE587B" w:rsidRPr="00ED0870" w:rsidRDefault="00CE587B" w:rsidP="00CE587B">
      <w:pPr>
        <w:pStyle w:val="NoSpacing"/>
        <w:rPr>
          <w:rFonts w:ascii="Roboto" w:hAnsi="Roboto"/>
          <w:sz w:val="22"/>
          <w:szCs w:val="22"/>
        </w:rPr>
      </w:pPr>
      <w:r w:rsidRPr="00ED0870">
        <w:rPr>
          <w:rFonts w:ascii="Roboto" w:hAnsi="Roboto"/>
          <w:sz w:val="22"/>
          <w:szCs w:val="22"/>
        </w:rPr>
        <w:t>A patient survey (of more than 3,300 patients) found that only 30% of</w:t>
      </w:r>
      <w:r w:rsidRPr="00ED0870">
        <w:rPr>
          <w:rFonts w:ascii="Times New Roman" w:hAnsi="Times New Roman" w:cs="Times New Roman"/>
          <w:sz w:val="22"/>
          <w:szCs w:val="22"/>
        </w:rPr>
        <w:t> </w:t>
      </w:r>
      <w:r w:rsidRPr="00ED0870">
        <w:rPr>
          <w:rFonts w:ascii="Roboto" w:hAnsi="Roboto"/>
          <w:sz w:val="22"/>
          <w:szCs w:val="22"/>
        </w:rPr>
        <w:t>patients</w:t>
      </w:r>
      <w:r w:rsidRPr="00ED0870">
        <w:rPr>
          <w:rFonts w:ascii="Times New Roman" w:hAnsi="Times New Roman" w:cs="Times New Roman"/>
          <w:sz w:val="22"/>
          <w:szCs w:val="22"/>
        </w:rPr>
        <w:t> </w:t>
      </w:r>
      <w:r w:rsidRPr="00ED0870">
        <w:rPr>
          <w:rFonts w:ascii="Roboto" w:hAnsi="Roboto"/>
          <w:sz w:val="22"/>
          <w:szCs w:val="22"/>
        </w:rPr>
        <w:t>surveyed</w:t>
      </w:r>
      <w:r w:rsidRPr="00ED0870">
        <w:rPr>
          <w:rFonts w:ascii="Times New Roman" w:hAnsi="Times New Roman" w:cs="Times New Roman"/>
          <w:sz w:val="22"/>
          <w:szCs w:val="22"/>
        </w:rPr>
        <w:t> </w:t>
      </w:r>
      <w:r w:rsidRPr="00ED0870">
        <w:rPr>
          <w:rFonts w:ascii="Roboto" w:hAnsi="Roboto"/>
          <w:sz w:val="22"/>
          <w:szCs w:val="22"/>
        </w:rPr>
        <w:t>are happy with</w:t>
      </w:r>
      <w:r w:rsidRPr="00ED0870">
        <w:rPr>
          <w:rFonts w:ascii="Times New Roman" w:hAnsi="Times New Roman" w:cs="Times New Roman"/>
          <w:sz w:val="22"/>
          <w:szCs w:val="22"/>
        </w:rPr>
        <w:t> </w:t>
      </w:r>
      <w:r w:rsidRPr="00ED0870">
        <w:rPr>
          <w:rFonts w:ascii="Roboto" w:hAnsi="Roboto"/>
          <w:sz w:val="22"/>
          <w:szCs w:val="22"/>
        </w:rPr>
        <w:t>how their osteoporosis is</w:t>
      </w:r>
      <w:r w:rsidRPr="00ED0870">
        <w:rPr>
          <w:rFonts w:ascii="Times New Roman" w:hAnsi="Times New Roman" w:cs="Times New Roman"/>
          <w:sz w:val="22"/>
          <w:szCs w:val="22"/>
        </w:rPr>
        <w:t> </w:t>
      </w:r>
      <w:r w:rsidRPr="00ED0870">
        <w:rPr>
          <w:rFonts w:ascii="Roboto" w:hAnsi="Roboto"/>
          <w:sz w:val="22"/>
          <w:szCs w:val="22"/>
        </w:rPr>
        <w:t>monitored</w:t>
      </w:r>
      <w:r w:rsidRPr="00ED0870">
        <w:rPr>
          <w:rFonts w:ascii="Times New Roman" w:hAnsi="Times New Roman" w:cs="Times New Roman"/>
          <w:sz w:val="22"/>
          <w:szCs w:val="22"/>
        </w:rPr>
        <w:t> </w:t>
      </w:r>
      <w:r w:rsidRPr="00ED0870">
        <w:rPr>
          <w:rFonts w:ascii="Roboto" w:hAnsi="Roboto"/>
          <w:sz w:val="22"/>
          <w:szCs w:val="22"/>
        </w:rPr>
        <w:t xml:space="preserve">by the NHS </w:t>
      </w:r>
      <w:r w:rsidRPr="00ED0870">
        <w:rPr>
          <w:rFonts w:ascii="Roboto" w:hAnsi="Roboto" w:cs="Aptos"/>
          <w:sz w:val="22"/>
          <w:szCs w:val="22"/>
        </w:rPr>
        <w:t>–</w:t>
      </w:r>
      <w:r w:rsidRPr="00ED0870">
        <w:rPr>
          <w:rFonts w:ascii="Roboto" w:hAnsi="Roboto"/>
          <w:sz w:val="22"/>
          <w:szCs w:val="22"/>
        </w:rPr>
        <w:t xml:space="preserve"> the majority feel unsupported and frustrated.</w:t>
      </w:r>
      <w:r w:rsidRPr="00ED0870">
        <w:rPr>
          <w:rStyle w:val="EndnoteReference"/>
          <w:rFonts w:ascii="Roboto" w:hAnsi="Roboto"/>
          <w:sz w:val="22"/>
          <w:szCs w:val="22"/>
        </w:rPr>
        <w:endnoteReference w:id="16"/>
      </w:r>
    </w:p>
    <w:p w14:paraId="63B390E4" w14:textId="77777777" w:rsidR="00A6014B" w:rsidRPr="00ED0870" w:rsidRDefault="00A6014B" w:rsidP="00CE587B">
      <w:pPr>
        <w:pStyle w:val="NoSpacing"/>
        <w:rPr>
          <w:rFonts w:ascii="Roboto" w:hAnsi="Roboto"/>
          <w:sz w:val="22"/>
          <w:szCs w:val="22"/>
        </w:rPr>
      </w:pPr>
    </w:p>
    <w:p w14:paraId="64B2D28C" w14:textId="77777777" w:rsidR="009F7E7A" w:rsidRPr="00ED0870" w:rsidRDefault="009F7E7A" w:rsidP="009F7E7A">
      <w:pPr>
        <w:pStyle w:val="NoSpacing"/>
        <w:rPr>
          <w:rFonts w:ascii="Roboto" w:hAnsi="Roboto"/>
          <w:sz w:val="22"/>
          <w:szCs w:val="22"/>
        </w:rPr>
      </w:pPr>
      <w:r w:rsidRPr="00ED0870">
        <w:rPr>
          <w:rFonts w:ascii="Roboto" w:hAnsi="Roboto"/>
          <w:sz w:val="22"/>
          <w:szCs w:val="22"/>
        </w:rPr>
        <w:t>Approximately 350,00 people will break a bone in England and Wales every year due to osteoporosis. This compares with 82,000 heart attacks and 95,200 strokes over the same time period.</w:t>
      </w:r>
      <w:r w:rsidRPr="00ED0870">
        <w:rPr>
          <w:rStyle w:val="EndnoteReference"/>
          <w:rFonts w:ascii="Roboto" w:hAnsi="Roboto"/>
          <w:sz w:val="22"/>
          <w:szCs w:val="22"/>
        </w:rPr>
        <w:endnoteReference w:id="17"/>
      </w:r>
    </w:p>
    <w:p w14:paraId="3B444297" w14:textId="77777777" w:rsidR="009F7E7A" w:rsidRPr="00ED0870" w:rsidRDefault="009F7E7A" w:rsidP="009F7E7A">
      <w:pPr>
        <w:pStyle w:val="NoSpacing"/>
        <w:rPr>
          <w:rFonts w:ascii="Roboto" w:hAnsi="Roboto"/>
          <w:sz w:val="22"/>
          <w:szCs w:val="22"/>
        </w:rPr>
      </w:pPr>
    </w:p>
    <w:p w14:paraId="44BB6CC1" w14:textId="77777777" w:rsidR="009F7E7A" w:rsidRPr="00ED0870" w:rsidRDefault="009F7E7A" w:rsidP="009F7E7A">
      <w:pPr>
        <w:pStyle w:val="NoSpacing"/>
        <w:rPr>
          <w:rFonts w:ascii="Roboto" w:hAnsi="Roboto"/>
          <w:sz w:val="22"/>
          <w:szCs w:val="22"/>
        </w:rPr>
      </w:pPr>
      <w:r w:rsidRPr="00ED0870">
        <w:rPr>
          <w:rFonts w:ascii="Roboto" w:hAnsi="Roboto"/>
          <w:sz w:val="22"/>
          <w:szCs w:val="22"/>
        </w:rPr>
        <w:t>Non-vertebral fracture risk reduction has been shown with 12–18 months of oral drug treatment.</w:t>
      </w:r>
      <w:r w:rsidRPr="00ED0870">
        <w:rPr>
          <w:rStyle w:val="EndnoteReference"/>
          <w:rFonts w:ascii="Roboto" w:hAnsi="Roboto"/>
          <w:sz w:val="22"/>
          <w:szCs w:val="22"/>
        </w:rPr>
        <w:endnoteReference w:id="18"/>
      </w:r>
    </w:p>
    <w:p w14:paraId="6547F00B" w14:textId="77777777" w:rsidR="009F7E7A" w:rsidRPr="00ED0870" w:rsidRDefault="009F7E7A" w:rsidP="009F7E7A">
      <w:pPr>
        <w:pStyle w:val="NoSpacing"/>
        <w:rPr>
          <w:rFonts w:ascii="Roboto" w:hAnsi="Roboto"/>
          <w:sz w:val="22"/>
          <w:szCs w:val="22"/>
        </w:rPr>
      </w:pPr>
    </w:p>
    <w:p w14:paraId="13D0BE39" w14:textId="77777777" w:rsidR="009F7E7A" w:rsidRPr="00ED0870" w:rsidRDefault="009F7E7A" w:rsidP="009F7E7A">
      <w:pPr>
        <w:pStyle w:val="NoSpacing"/>
        <w:rPr>
          <w:rFonts w:ascii="Roboto" w:hAnsi="Roboto"/>
          <w:sz w:val="22"/>
          <w:szCs w:val="22"/>
          <w:vertAlign w:val="superscript"/>
        </w:rPr>
      </w:pPr>
      <w:r w:rsidRPr="00ED0870">
        <w:rPr>
          <w:rFonts w:ascii="Roboto" w:hAnsi="Roboto"/>
          <w:sz w:val="22"/>
          <w:szCs w:val="22"/>
        </w:rPr>
        <w:t>One vertebral fracture increases the risk of a new vertebral fracture five-fold, and up to twelve-fold in the presence of two or more vertebral fractures.</w:t>
      </w:r>
      <w:r w:rsidRPr="00ED0870">
        <w:rPr>
          <w:rStyle w:val="EndnoteReference"/>
          <w:rFonts w:ascii="Roboto" w:hAnsi="Roboto"/>
          <w:sz w:val="22"/>
          <w:szCs w:val="22"/>
        </w:rPr>
        <w:endnoteReference w:id="19"/>
      </w:r>
      <w:r w:rsidRPr="00ED0870">
        <w:rPr>
          <w:rFonts w:ascii="Roboto" w:hAnsi="Roboto"/>
          <w:sz w:val="22"/>
          <w:szCs w:val="22"/>
          <w:vertAlign w:val="superscript"/>
        </w:rPr>
        <w:t>,</w:t>
      </w:r>
      <w:r w:rsidRPr="00ED0870">
        <w:rPr>
          <w:rStyle w:val="EndnoteReference"/>
          <w:rFonts w:ascii="Roboto" w:hAnsi="Roboto"/>
          <w:sz w:val="22"/>
          <w:szCs w:val="22"/>
        </w:rPr>
        <w:endnoteReference w:id="20"/>
      </w:r>
    </w:p>
    <w:p w14:paraId="4A1E5D95" w14:textId="77777777" w:rsidR="009F7E7A" w:rsidRPr="00ED0870" w:rsidRDefault="009F7E7A" w:rsidP="009F7E7A">
      <w:pPr>
        <w:pStyle w:val="NoSpacing"/>
        <w:rPr>
          <w:rFonts w:ascii="Roboto" w:hAnsi="Roboto"/>
          <w:sz w:val="22"/>
          <w:szCs w:val="22"/>
        </w:rPr>
      </w:pPr>
    </w:p>
    <w:p w14:paraId="09F904E9" w14:textId="77777777" w:rsidR="009F7E7A" w:rsidRPr="00ED0870" w:rsidRDefault="009F7E7A" w:rsidP="009F7E7A">
      <w:pPr>
        <w:pStyle w:val="NoSpacing"/>
        <w:rPr>
          <w:rFonts w:ascii="Roboto" w:hAnsi="Roboto"/>
          <w:sz w:val="22"/>
          <w:szCs w:val="22"/>
        </w:rPr>
      </w:pPr>
      <w:r w:rsidRPr="00ED0870">
        <w:rPr>
          <w:rFonts w:ascii="Roboto" w:hAnsi="Roboto"/>
          <w:sz w:val="22"/>
          <w:szCs w:val="22"/>
        </w:rPr>
        <w:t>A vertebral fracture is a powerful predictor of future fracture – up to 20% of patients will sustain another fracture in the first year.</w:t>
      </w:r>
      <w:r w:rsidRPr="00ED0870">
        <w:rPr>
          <w:rStyle w:val="EndnoteReference"/>
          <w:rFonts w:ascii="Roboto" w:hAnsi="Roboto"/>
          <w:sz w:val="22"/>
          <w:szCs w:val="22"/>
        </w:rPr>
        <w:endnoteReference w:id="21"/>
      </w:r>
    </w:p>
    <w:p w14:paraId="797B7B91" w14:textId="06E4978C" w:rsidR="003D16B5" w:rsidRPr="00ED0870" w:rsidRDefault="003D16B5">
      <w:pPr>
        <w:rPr>
          <w:rFonts w:ascii="Roboto" w:hAnsi="Roboto"/>
          <w:b/>
          <w:bCs/>
        </w:rPr>
      </w:pPr>
    </w:p>
    <w:p w14:paraId="797B7B92" w14:textId="07577DBB" w:rsidR="003D16B5" w:rsidRPr="00ED0870" w:rsidRDefault="005851C8">
      <w:pPr>
        <w:rPr>
          <w:rFonts w:ascii="Roboto" w:hAnsi="Roboto"/>
          <w:vertAlign w:val="superscript"/>
        </w:rPr>
      </w:pPr>
      <w:r w:rsidRPr="00ED0870">
        <w:rPr>
          <w:rFonts w:ascii="Roboto" w:eastAsia="Roboto" w:hAnsi="Roboto" w:cs="Roboto"/>
        </w:rPr>
        <w:t>At age 50, the lifetime risk of fracture is greater than 50% for women and 20% for men</w:t>
      </w:r>
      <w:r w:rsidR="00B85C5B" w:rsidRPr="00ED0870">
        <w:rPr>
          <w:rStyle w:val="EndnoteReference"/>
          <w:rFonts w:ascii="Roboto" w:eastAsia="Roboto" w:hAnsi="Roboto" w:cs="Roboto"/>
        </w:rPr>
        <w:endnoteReference w:id="22"/>
      </w:r>
    </w:p>
    <w:p w14:paraId="74DEBBCB" w14:textId="77777777" w:rsidR="00B67559" w:rsidRDefault="00B67559">
      <w:pPr>
        <w:rPr>
          <w:rFonts w:ascii="Roboto" w:hAnsi="Roboto"/>
          <w:b/>
          <w:bCs/>
        </w:rPr>
      </w:pPr>
    </w:p>
    <w:p w14:paraId="797B7B93" w14:textId="03EE55F9" w:rsidR="003D16B5" w:rsidRPr="00B67559" w:rsidRDefault="007B793E">
      <w:pPr>
        <w:rPr>
          <w:kern w:val="2"/>
          <w14:ligatures w14:val="standardContextual"/>
        </w:rPr>
      </w:pPr>
      <w:r>
        <w:rPr>
          <w:rFonts w:ascii="Roboto" w:hAnsi="Roboto"/>
          <w:b/>
          <w:bCs/>
        </w:rPr>
        <w:t>Risk of subsequent fractures</w:t>
      </w:r>
    </w:p>
    <w:p w14:paraId="797B7B94" w14:textId="670E4A83" w:rsidR="003D16B5" w:rsidRPr="00ED0870" w:rsidRDefault="005851C8">
      <w:pPr>
        <w:rPr>
          <w:rFonts w:ascii="Roboto" w:eastAsia="Roboto" w:hAnsi="Roboto" w:cs="Roboto"/>
        </w:rPr>
      </w:pPr>
      <w:r w:rsidRPr="00ED0870">
        <w:rPr>
          <w:rFonts w:ascii="Roboto" w:eastAsia="Roboto" w:hAnsi="Roboto" w:cs="Roboto"/>
        </w:rPr>
        <w:t>A survey conducted by the ROS reported that a fifth of women who have broken a bone break 3 or more before being diagnosed with Osteoporosis</w:t>
      </w:r>
      <w:r w:rsidR="00B85C5B" w:rsidRPr="00ED0870">
        <w:rPr>
          <w:rStyle w:val="EndnoteReference"/>
          <w:rFonts w:ascii="Roboto" w:eastAsia="Roboto" w:hAnsi="Roboto" w:cs="Roboto"/>
        </w:rPr>
        <w:endnoteReference w:id="23"/>
      </w:r>
    </w:p>
    <w:p w14:paraId="5F1F9173" w14:textId="77777777" w:rsidR="00B67559" w:rsidRDefault="00B67559">
      <w:pPr>
        <w:rPr>
          <w:rFonts w:ascii="Roboto" w:hAnsi="Roboto"/>
          <w:b/>
          <w:bCs/>
        </w:rPr>
      </w:pPr>
    </w:p>
    <w:p w14:paraId="7D1EEFF1" w14:textId="6964E7DA" w:rsidR="007B793E" w:rsidRDefault="007B793E">
      <w:pPr>
        <w:rPr>
          <w:kern w:val="2"/>
          <w14:ligatures w14:val="standardContextual"/>
        </w:rPr>
      </w:pPr>
      <w:r>
        <w:rPr>
          <w:rFonts w:ascii="Roboto" w:hAnsi="Roboto"/>
          <w:b/>
          <w:bCs/>
        </w:rPr>
        <w:t>Impact on patients and quality of life</w:t>
      </w:r>
    </w:p>
    <w:p w14:paraId="794619AF" w14:textId="77777777" w:rsidR="003865F0" w:rsidRDefault="003865F0" w:rsidP="003865F0">
      <w:pPr>
        <w:pStyle w:val="NoSpacing"/>
        <w:rPr>
          <w:rFonts w:ascii="Roboto" w:hAnsi="Roboto"/>
          <w:sz w:val="22"/>
          <w:szCs w:val="22"/>
        </w:rPr>
      </w:pPr>
      <w:r w:rsidRPr="00ED0870">
        <w:rPr>
          <w:rFonts w:ascii="Roboto" w:hAnsi="Roboto"/>
          <w:sz w:val="22"/>
          <w:szCs w:val="22"/>
        </w:rPr>
        <w:t>Vertebral fractures lead to both acute and chronic back pain, substantial spinal deformity, functional disability, decreased quality of life and increased mortality.</w:t>
      </w:r>
      <w:r w:rsidRPr="00ED0870">
        <w:rPr>
          <w:rStyle w:val="EndnoteReference"/>
          <w:rFonts w:ascii="Roboto" w:hAnsi="Roboto"/>
          <w:sz w:val="22"/>
          <w:szCs w:val="22"/>
        </w:rPr>
        <w:endnoteReference w:id="24"/>
      </w:r>
    </w:p>
    <w:p w14:paraId="5329492B" w14:textId="77777777" w:rsidR="00A068AF" w:rsidRPr="00ED0870" w:rsidRDefault="00A068AF" w:rsidP="003865F0">
      <w:pPr>
        <w:pStyle w:val="NoSpacing"/>
        <w:rPr>
          <w:rFonts w:ascii="Roboto" w:hAnsi="Roboto"/>
          <w:sz w:val="22"/>
          <w:szCs w:val="22"/>
        </w:rPr>
      </w:pPr>
    </w:p>
    <w:p w14:paraId="11545659" w14:textId="77777777" w:rsidR="003865F0" w:rsidRPr="00ED0870" w:rsidRDefault="003865F0" w:rsidP="003865F0">
      <w:pPr>
        <w:pStyle w:val="NoSpacing"/>
        <w:rPr>
          <w:rFonts w:ascii="Roboto" w:hAnsi="Roboto"/>
          <w:sz w:val="22"/>
          <w:szCs w:val="22"/>
        </w:rPr>
      </w:pPr>
      <w:r w:rsidRPr="00ED0870">
        <w:rPr>
          <w:rFonts w:ascii="Roboto" w:hAnsi="Roboto"/>
          <w:sz w:val="22"/>
          <w:szCs w:val="22"/>
        </w:rPr>
        <w:t>A year after a hip fracture, 60%  of sufferers require assistance with activities such as feeding, dressing and going to the toilet, 80% need help with activities such as shopping or driving</w:t>
      </w:r>
      <w:r w:rsidRPr="00ED0870">
        <w:rPr>
          <w:rStyle w:val="EndnoteReference"/>
          <w:rFonts w:ascii="Roboto" w:hAnsi="Roboto"/>
          <w:sz w:val="22"/>
          <w:szCs w:val="22"/>
        </w:rPr>
        <w:endnoteReference w:id="25"/>
      </w:r>
    </w:p>
    <w:p w14:paraId="6B814CE7" w14:textId="77777777" w:rsidR="003865F0" w:rsidRPr="00ED0870" w:rsidRDefault="003865F0" w:rsidP="003865F0">
      <w:pPr>
        <w:pStyle w:val="NoSpacing"/>
        <w:rPr>
          <w:rFonts w:ascii="Roboto" w:hAnsi="Roboto"/>
          <w:sz w:val="22"/>
          <w:szCs w:val="22"/>
        </w:rPr>
      </w:pPr>
    </w:p>
    <w:p w14:paraId="5A701913" w14:textId="77777777" w:rsidR="003865F0" w:rsidRPr="00ED0870" w:rsidRDefault="003865F0" w:rsidP="003865F0">
      <w:pPr>
        <w:pStyle w:val="NoSpacing"/>
        <w:rPr>
          <w:rFonts w:ascii="Roboto" w:hAnsi="Roboto"/>
          <w:sz w:val="22"/>
          <w:szCs w:val="22"/>
        </w:rPr>
      </w:pPr>
      <w:r w:rsidRPr="00ED0870">
        <w:rPr>
          <w:rFonts w:ascii="Roboto" w:hAnsi="Roboto"/>
          <w:sz w:val="22"/>
          <w:szCs w:val="22"/>
        </w:rPr>
        <w:t>During the first year after hip fracture, half of people who walked unaided prior to their fracture will no longer be able to walk independently.</w:t>
      </w:r>
      <w:r w:rsidRPr="00ED0870">
        <w:rPr>
          <w:rStyle w:val="EndnoteReference"/>
          <w:rFonts w:ascii="Roboto" w:hAnsi="Roboto"/>
          <w:sz w:val="22"/>
          <w:szCs w:val="22"/>
        </w:rPr>
        <w:endnoteReference w:id="26"/>
      </w:r>
    </w:p>
    <w:p w14:paraId="78719FC5" w14:textId="77777777" w:rsidR="00CF7B8E" w:rsidRDefault="00CF7B8E">
      <w:pPr>
        <w:rPr>
          <w:rFonts w:ascii="Roboto" w:hAnsi="Roboto"/>
          <w:b/>
          <w:bCs/>
        </w:rPr>
      </w:pPr>
    </w:p>
    <w:p w14:paraId="197EE21E" w14:textId="010D6484" w:rsidR="003865F0" w:rsidRPr="00CF7B8E" w:rsidRDefault="007B793E" w:rsidP="00CF7B8E">
      <w:pPr>
        <w:rPr>
          <w:kern w:val="2"/>
          <w14:ligatures w14:val="standardContextual"/>
        </w:rPr>
      </w:pPr>
      <w:r>
        <w:rPr>
          <w:rFonts w:ascii="Roboto" w:hAnsi="Roboto"/>
          <w:b/>
          <w:bCs/>
        </w:rPr>
        <w:t>Treatment effectiveness and adherence</w:t>
      </w:r>
    </w:p>
    <w:p w14:paraId="33B5682C" w14:textId="77777777" w:rsidR="003865F0" w:rsidRPr="00ED0870" w:rsidRDefault="003865F0" w:rsidP="003865F0">
      <w:pPr>
        <w:pStyle w:val="NoSpacing"/>
        <w:rPr>
          <w:rFonts w:ascii="Roboto" w:hAnsi="Roboto"/>
          <w:sz w:val="22"/>
          <w:szCs w:val="22"/>
        </w:rPr>
      </w:pPr>
      <w:r w:rsidRPr="00ED0870">
        <w:rPr>
          <w:rFonts w:ascii="Roboto" w:hAnsi="Roboto"/>
          <w:sz w:val="22"/>
          <w:szCs w:val="22"/>
        </w:rPr>
        <w:t>Attention from a healthcare professional can increase treatment adherence significantly.</w:t>
      </w:r>
      <w:r w:rsidRPr="00ED0870">
        <w:rPr>
          <w:rStyle w:val="EndnoteReference"/>
          <w:rFonts w:ascii="Roboto" w:hAnsi="Roboto"/>
          <w:sz w:val="22"/>
          <w:szCs w:val="22"/>
        </w:rPr>
        <w:endnoteReference w:id="27"/>
      </w:r>
    </w:p>
    <w:p w14:paraId="516A4091" w14:textId="77777777" w:rsidR="003865F0" w:rsidRPr="00ED0870" w:rsidRDefault="003865F0" w:rsidP="003865F0">
      <w:pPr>
        <w:pStyle w:val="NoSpacing"/>
        <w:rPr>
          <w:rFonts w:ascii="Roboto" w:hAnsi="Roboto"/>
          <w:sz w:val="22"/>
          <w:szCs w:val="22"/>
        </w:rPr>
      </w:pPr>
    </w:p>
    <w:p w14:paraId="743BD9AF" w14:textId="77777777" w:rsidR="003865F0" w:rsidRPr="00ED0870" w:rsidRDefault="003865F0" w:rsidP="003865F0">
      <w:pPr>
        <w:pStyle w:val="NoSpacing"/>
        <w:rPr>
          <w:rFonts w:ascii="Roboto" w:hAnsi="Roboto"/>
          <w:sz w:val="22"/>
          <w:szCs w:val="22"/>
        </w:rPr>
      </w:pPr>
      <w:r w:rsidRPr="00ED0870">
        <w:rPr>
          <w:rFonts w:ascii="Roboto" w:hAnsi="Roboto"/>
          <w:sz w:val="22"/>
          <w:szCs w:val="22"/>
        </w:rPr>
        <w:t>Low bone mineral density is the leading cause of falls-related morbidity for both men and women aged 50–69 years in England, responsible for 35% of such morbidity among men, and 46% among women.</w:t>
      </w:r>
      <w:r w:rsidRPr="00ED0870">
        <w:rPr>
          <w:rStyle w:val="EndnoteReference"/>
          <w:rFonts w:ascii="Roboto" w:hAnsi="Roboto"/>
          <w:sz w:val="22"/>
          <w:szCs w:val="22"/>
        </w:rPr>
        <w:endnoteReference w:id="28"/>
      </w:r>
    </w:p>
    <w:p w14:paraId="797B7B95" w14:textId="77777777" w:rsidR="003D16B5" w:rsidRPr="00ED0870" w:rsidRDefault="005851C8">
      <w:pPr>
        <w:rPr>
          <w:rFonts w:ascii="Roboto" w:hAnsi="Roboto"/>
          <w:b/>
          <w:bCs/>
        </w:rPr>
      </w:pPr>
      <w:r w:rsidRPr="00ED0870">
        <w:rPr>
          <w:rFonts w:ascii="Roboto" w:hAnsi="Roboto"/>
          <w:b/>
          <w:bCs/>
        </w:rPr>
        <w:t xml:space="preserve"> </w:t>
      </w:r>
    </w:p>
    <w:p w14:paraId="797B7B96" w14:textId="255695BB" w:rsidR="003D16B5" w:rsidRPr="00ED0870" w:rsidRDefault="005851C8">
      <w:pPr>
        <w:rPr>
          <w:rFonts w:ascii="Roboto" w:eastAsia="Roboto" w:hAnsi="Roboto" w:cs="Roboto"/>
        </w:rPr>
      </w:pPr>
      <w:r w:rsidRPr="00ED0870">
        <w:rPr>
          <w:rFonts w:ascii="Roboto" w:eastAsia="Roboto" w:hAnsi="Roboto" w:cs="Roboto"/>
        </w:rPr>
        <w:t>After a fragility fracture, patients are five times more likely to experience a second fracture within the next 2 years</w:t>
      </w:r>
      <w:r w:rsidR="00B85C5B" w:rsidRPr="00ED0870">
        <w:rPr>
          <w:rStyle w:val="EndnoteReference"/>
          <w:rFonts w:ascii="Roboto" w:eastAsia="Roboto" w:hAnsi="Roboto" w:cs="Roboto"/>
        </w:rPr>
        <w:endnoteReference w:id="29"/>
      </w:r>
    </w:p>
    <w:p w14:paraId="3DF4FDFC" w14:textId="77777777" w:rsidR="00391D2C" w:rsidRPr="00ED0870" w:rsidRDefault="00391D2C">
      <w:pPr>
        <w:rPr>
          <w:rFonts w:ascii="Roboto" w:eastAsia="Roboto" w:hAnsi="Roboto" w:cs="Roboto"/>
        </w:rPr>
      </w:pPr>
    </w:p>
    <w:p w14:paraId="4A760BDF" w14:textId="77777777" w:rsidR="00391D2C" w:rsidRPr="00ED0870" w:rsidRDefault="00391D2C" w:rsidP="00391D2C">
      <w:pPr>
        <w:pStyle w:val="NoSpacing"/>
        <w:rPr>
          <w:rFonts w:ascii="Roboto" w:hAnsi="Roboto"/>
          <w:sz w:val="22"/>
          <w:szCs w:val="22"/>
          <w:vertAlign w:val="superscript"/>
        </w:rPr>
      </w:pPr>
      <w:r w:rsidRPr="00ED0870">
        <w:rPr>
          <w:rFonts w:ascii="Roboto" w:hAnsi="Roboto"/>
          <w:sz w:val="22"/>
          <w:szCs w:val="22"/>
        </w:rPr>
        <w:t>Vertebral fractures are the most responsive to treatment, with some drug therapies reducing rates of re-fracture by up to 90%.</w:t>
      </w:r>
      <w:r w:rsidRPr="00ED0870">
        <w:rPr>
          <w:rStyle w:val="EndnoteReference"/>
          <w:rFonts w:ascii="Roboto" w:hAnsi="Roboto"/>
          <w:sz w:val="22"/>
          <w:szCs w:val="22"/>
        </w:rPr>
        <w:endnoteReference w:id="30"/>
      </w:r>
      <w:r w:rsidRPr="00ED0870">
        <w:rPr>
          <w:rFonts w:ascii="Roboto" w:hAnsi="Roboto"/>
          <w:sz w:val="22"/>
          <w:szCs w:val="22"/>
          <w:vertAlign w:val="superscript"/>
        </w:rPr>
        <w:t>,</w:t>
      </w:r>
      <w:r w:rsidRPr="00ED0870">
        <w:rPr>
          <w:rStyle w:val="EndnoteReference"/>
          <w:rFonts w:ascii="Roboto" w:hAnsi="Roboto"/>
          <w:sz w:val="22"/>
          <w:szCs w:val="22"/>
        </w:rPr>
        <w:endnoteReference w:id="31"/>
      </w:r>
    </w:p>
    <w:p w14:paraId="2DB24DF8" w14:textId="77777777" w:rsidR="00391D2C" w:rsidRPr="00ED0870" w:rsidRDefault="00391D2C" w:rsidP="00391D2C">
      <w:pPr>
        <w:pStyle w:val="NoSpacing"/>
        <w:rPr>
          <w:rFonts w:ascii="Roboto" w:hAnsi="Roboto"/>
          <w:sz w:val="22"/>
          <w:szCs w:val="22"/>
          <w:vertAlign w:val="superscript"/>
        </w:rPr>
      </w:pPr>
    </w:p>
    <w:p w14:paraId="2C65E269" w14:textId="77777777" w:rsidR="00391D2C" w:rsidRPr="00ED0870" w:rsidRDefault="00391D2C" w:rsidP="00391D2C">
      <w:pPr>
        <w:pStyle w:val="NoSpacing"/>
        <w:rPr>
          <w:rFonts w:ascii="Roboto" w:hAnsi="Roboto"/>
          <w:sz w:val="22"/>
          <w:szCs w:val="22"/>
        </w:rPr>
      </w:pPr>
      <w:r w:rsidRPr="00ED0870">
        <w:rPr>
          <w:rFonts w:ascii="Roboto" w:hAnsi="Roboto"/>
          <w:sz w:val="22"/>
          <w:szCs w:val="22"/>
        </w:rPr>
        <w:t>Non-vertebral fracture risk reduction may occur as early as six months after starting osteoporosis drug treatment.</w:t>
      </w:r>
      <w:r w:rsidRPr="00ED0870">
        <w:rPr>
          <w:rStyle w:val="EndnoteReference"/>
          <w:rFonts w:ascii="Roboto" w:hAnsi="Roboto"/>
          <w:sz w:val="22"/>
          <w:szCs w:val="22"/>
        </w:rPr>
        <w:endnoteReference w:id="32"/>
      </w:r>
    </w:p>
    <w:p w14:paraId="371EDDEE" w14:textId="77777777" w:rsidR="00CF7B8E" w:rsidRDefault="00CF7B8E">
      <w:pPr>
        <w:rPr>
          <w:rFonts w:ascii="Roboto" w:hAnsi="Roboto"/>
          <w:b/>
          <w:bCs/>
        </w:rPr>
      </w:pPr>
    </w:p>
    <w:p w14:paraId="5BAB9C47" w14:textId="1685B920" w:rsidR="00391D2C" w:rsidRPr="00CF7B8E" w:rsidRDefault="007B793E" w:rsidP="00CF7B8E">
      <w:pPr>
        <w:rPr>
          <w:kern w:val="2"/>
          <w14:ligatures w14:val="standardContextual"/>
        </w:rPr>
      </w:pPr>
      <w:r>
        <w:rPr>
          <w:rFonts w:ascii="Roboto" w:hAnsi="Roboto"/>
          <w:b/>
          <w:bCs/>
        </w:rPr>
        <w:t>Workforce, productivity and wider system impact</w:t>
      </w:r>
    </w:p>
    <w:p w14:paraId="61972A3B" w14:textId="77777777" w:rsidR="00391D2C" w:rsidRPr="00ED0870" w:rsidRDefault="00391D2C" w:rsidP="00391D2C">
      <w:pPr>
        <w:pStyle w:val="NoSpacing"/>
        <w:rPr>
          <w:rFonts w:ascii="Roboto" w:hAnsi="Roboto"/>
          <w:sz w:val="22"/>
          <w:szCs w:val="22"/>
        </w:rPr>
      </w:pPr>
      <w:r w:rsidRPr="00ED0870">
        <w:rPr>
          <w:rFonts w:ascii="Roboto" w:hAnsi="Roboto"/>
          <w:sz w:val="22"/>
          <w:szCs w:val="22"/>
        </w:rPr>
        <w:t>Every year in the UK, 42,000 vertebral fractures occur in people of working age (50-69), estimated to cause 550,000 sick days.</w:t>
      </w:r>
      <w:r w:rsidRPr="00ED0870">
        <w:rPr>
          <w:rStyle w:val="EndnoteReference"/>
          <w:rFonts w:ascii="Roboto" w:hAnsi="Roboto"/>
          <w:sz w:val="22"/>
          <w:szCs w:val="22"/>
        </w:rPr>
        <w:endnoteReference w:id="33"/>
      </w:r>
    </w:p>
    <w:p w14:paraId="797B7B97" w14:textId="77777777" w:rsidR="003D16B5" w:rsidRPr="00ED0870" w:rsidRDefault="005851C8">
      <w:pPr>
        <w:rPr>
          <w:rFonts w:ascii="Roboto" w:hAnsi="Roboto"/>
          <w:b/>
          <w:bCs/>
        </w:rPr>
      </w:pPr>
      <w:r w:rsidRPr="00ED0870">
        <w:rPr>
          <w:rFonts w:ascii="Roboto" w:hAnsi="Roboto"/>
          <w:b/>
          <w:bCs/>
        </w:rPr>
        <w:t xml:space="preserve"> </w:t>
      </w:r>
    </w:p>
    <w:p w14:paraId="797B7B98" w14:textId="315823D9" w:rsidR="003D16B5" w:rsidRPr="00ED0870" w:rsidRDefault="005851C8">
      <w:pPr>
        <w:rPr>
          <w:rFonts w:ascii="Roboto" w:eastAsia="Roboto" w:hAnsi="Roboto" w:cs="Roboto"/>
        </w:rPr>
      </w:pPr>
      <w:r w:rsidRPr="00ED0870">
        <w:rPr>
          <w:rFonts w:ascii="Roboto" w:eastAsia="Roboto" w:hAnsi="Roboto" w:cs="Roboto"/>
        </w:rPr>
        <w:t>By 2060, the number of hip fractures occurring in England, Wales and Northern Ireland is projected to increase by 107 % (n = 139,105). In males, there was an estimated increase of 130 % compared with 97 % in females</w:t>
      </w:r>
      <w:r w:rsidR="00B85C5B" w:rsidRPr="00ED0870">
        <w:rPr>
          <w:rStyle w:val="EndnoteReference"/>
          <w:rFonts w:ascii="Roboto" w:eastAsia="Roboto" w:hAnsi="Roboto" w:cs="Roboto"/>
        </w:rPr>
        <w:endnoteReference w:id="34"/>
      </w:r>
    </w:p>
    <w:p w14:paraId="269C0FE0" w14:textId="77777777" w:rsidR="00176F2E" w:rsidRDefault="00176F2E">
      <w:pPr>
        <w:rPr>
          <w:rFonts w:ascii="Roboto" w:hAnsi="Roboto"/>
          <w:b/>
          <w:bCs/>
        </w:rPr>
      </w:pPr>
    </w:p>
    <w:p w14:paraId="797B7B99" w14:textId="151A2221" w:rsidR="003D16B5" w:rsidRPr="00CF7B8E" w:rsidRDefault="007B793E">
      <w:pPr>
        <w:rPr>
          <w:kern w:val="2"/>
          <w14:ligatures w14:val="standardContextual"/>
        </w:rPr>
      </w:pPr>
      <w:r>
        <w:rPr>
          <w:rFonts w:ascii="Roboto" w:hAnsi="Roboto"/>
          <w:b/>
          <w:bCs/>
        </w:rPr>
        <w:t>Projected future demand</w:t>
      </w:r>
      <w:r w:rsidR="005851C8" w:rsidRPr="00ED0870">
        <w:rPr>
          <w:rFonts w:ascii="Roboto" w:hAnsi="Roboto"/>
          <w:b/>
          <w:bCs/>
        </w:rPr>
        <w:t xml:space="preserve"> </w:t>
      </w:r>
    </w:p>
    <w:p w14:paraId="797B7B9A" w14:textId="2138E25C" w:rsidR="003D16B5" w:rsidRPr="00ED0870" w:rsidRDefault="005851C8">
      <w:pPr>
        <w:rPr>
          <w:rFonts w:ascii="Roboto" w:eastAsia="Roboto" w:hAnsi="Roboto" w:cs="Roboto"/>
        </w:rPr>
      </w:pPr>
      <w:r w:rsidRPr="00ED0870">
        <w:rPr>
          <w:rFonts w:ascii="Roboto" w:eastAsia="Roboto" w:hAnsi="Roboto" w:cs="Roboto"/>
        </w:rPr>
        <w:t>Current projections suggest that the number of hip fractures will increase by 65% in the next 20 years if secondary fracture prevention care does not improve</w:t>
      </w:r>
      <w:r w:rsidR="00B85C5B" w:rsidRPr="00ED0870">
        <w:rPr>
          <w:rStyle w:val="EndnoteReference"/>
          <w:rFonts w:ascii="Roboto" w:eastAsia="Roboto" w:hAnsi="Roboto" w:cs="Roboto"/>
        </w:rPr>
        <w:endnoteReference w:id="35"/>
      </w:r>
    </w:p>
    <w:p w14:paraId="797B7B9B" w14:textId="77777777" w:rsidR="003D16B5" w:rsidRPr="00ED0870" w:rsidRDefault="005851C8">
      <w:pPr>
        <w:rPr>
          <w:rFonts w:ascii="Roboto" w:hAnsi="Roboto"/>
          <w:b/>
          <w:bCs/>
        </w:rPr>
      </w:pPr>
      <w:r w:rsidRPr="00ED0870">
        <w:rPr>
          <w:rFonts w:ascii="Roboto" w:hAnsi="Roboto"/>
          <w:b/>
          <w:bCs/>
        </w:rPr>
        <w:t xml:space="preserve"> </w:t>
      </w:r>
    </w:p>
    <w:p w14:paraId="797B7B9C" w14:textId="41855098" w:rsidR="003D16B5" w:rsidRPr="00ED0870" w:rsidRDefault="005851C8">
      <w:pPr>
        <w:rPr>
          <w:rFonts w:ascii="Roboto" w:eastAsia="Roboto" w:hAnsi="Roboto" w:cs="Roboto"/>
        </w:rPr>
      </w:pPr>
      <w:r w:rsidRPr="00ED0870">
        <w:rPr>
          <w:rFonts w:ascii="Roboto" w:eastAsia="Roboto" w:hAnsi="Roboto" w:cs="Roboto"/>
        </w:rPr>
        <w:t>Fragility fractures are the clinical manifestation of osteoporosis</w:t>
      </w:r>
      <w:r w:rsidR="00B85C5B" w:rsidRPr="00ED0870">
        <w:rPr>
          <w:rStyle w:val="EndnoteReference"/>
          <w:rFonts w:ascii="Roboto" w:eastAsia="Roboto" w:hAnsi="Roboto" w:cs="Roboto"/>
        </w:rPr>
        <w:endnoteReference w:id="36"/>
      </w:r>
    </w:p>
    <w:p w14:paraId="797B7B9D" w14:textId="77777777" w:rsidR="003D16B5" w:rsidRPr="00ED0870" w:rsidRDefault="005851C8">
      <w:pPr>
        <w:rPr>
          <w:rFonts w:ascii="Roboto" w:hAnsi="Roboto"/>
          <w:b/>
          <w:bCs/>
        </w:rPr>
      </w:pPr>
      <w:r w:rsidRPr="00ED0870">
        <w:rPr>
          <w:rFonts w:ascii="Roboto" w:hAnsi="Roboto"/>
          <w:b/>
          <w:bCs/>
        </w:rPr>
        <w:t xml:space="preserve"> </w:t>
      </w:r>
    </w:p>
    <w:p w14:paraId="797B7B9E" w14:textId="06FFB716" w:rsidR="003D16B5" w:rsidRPr="00ED0870" w:rsidRDefault="005851C8">
      <w:pPr>
        <w:rPr>
          <w:rFonts w:ascii="Roboto" w:eastAsia="Roboto" w:hAnsi="Roboto" w:cs="Roboto"/>
        </w:rPr>
      </w:pPr>
      <w:r w:rsidRPr="00ED0870">
        <w:rPr>
          <w:rFonts w:ascii="Roboto" w:eastAsia="Roboto" w:hAnsi="Roboto" w:cs="Roboto"/>
        </w:rPr>
        <w:t>Osteoporosis is a condition characterised by low bone mass and micro-architectural deterioration of bone tissue with a consequent increase in bone fragility and susceptibility to fracture</w:t>
      </w:r>
      <w:r w:rsidR="00B85C5B" w:rsidRPr="00ED0870">
        <w:rPr>
          <w:rStyle w:val="EndnoteReference"/>
          <w:rFonts w:ascii="Roboto" w:eastAsia="Roboto" w:hAnsi="Roboto" w:cs="Roboto"/>
        </w:rPr>
        <w:endnoteReference w:id="37"/>
      </w:r>
    </w:p>
    <w:p w14:paraId="797B7B9F" w14:textId="77777777" w:rsidR="003D16B5" w:rsidRPr="00ED0870" w:rsidRDefault="005851C8">
      <w:pPr>
        <w:rPr>
          <w:rFonts w:ascii="Roboto" w:hAnsi="Roboto"/>
          <w:b/>
          <w:bCs/>
        </w:rPr>
      </w:pPr>
      <w:r w:rsidRPr="00ED0870">
        <w:rPr>
          <w:rFonts w:ascii="Roboto" w:hAnsi="Roboto"/>
          <w:b/>
          <w:bCs/>
        </w:rPr>
        <w:t xml:space="preserve"> </w:t>
      </w:r>
    </w:p>
    <w:p w14:paraId="797B7BA0" w14:textId="359EA1DE" w:rsidR="003D16B5" w:rsidRPr="00ED0870" w:rsidRDefault="005851C8">
      <w:pPr>
        <w:rPr>
          <w:rFonts w:ascii="Roboto" w:eastAsia="Roboto" w:hAnsi="Roboto" w:cs="Roboto"/>
        </w:rPr>
      </w:pPr>
      <w:r w:rsidRPr="00ED0870">
        <w:rPr>
          <w:rFonts w:ascii="Roboto" w:eastAsia="Roboto" w:hAnsi="Roboto" w:cs="Roboto"/>
        </w:rPr>
        <w:t>Importantly, around half of all hip fracture patients have previously experienced another fracture that could have identified them as being at increased risk</w:t>
      </w:r>
      <w:r w:rsidR="00B85C5B" w:rsidRPr="00ED0870">
        <w:rPr>
          <w:rStyle w:val="EndnoteReference"/>
          <w:rFonts w:ascii="Roboto" w:eastAsia="Roboto" w:hAnsi="Roboto" w:cs="Roboto"/>
        </w:rPr>
        <w:endnoteReference w:id="38"/>
      </w:r>
      <w:r w:rsidRPr="00ED0870">
        <w:rPr>
          <w:rFonts w:ascii="Roboto" w:eastAsia="Roboto" w:hAnsi="Roboto" w:cs="Roboto"/>
        </w:rPr>
        <w:t>.</w:t>
      </w:r>
    </w:p>
    <w:p w14:paraId="3A29C3F8" w14:textId="77777777" w:rsidR="00CF7B8E" w:rsidRDefault="00CF7B8E">
      <w:pPr>
        <w:rPr>
          <w:rFonts w:ascii="Roboto" w:hAnsi="Roboto"/>
          <w:b/>
          <w:bCs/>
        </w:rPr>
      </w:pPr>
    </w:p>
    <w:p w14:paraId="797B7BA3" w14:textId="5D1F325D" w:rsidR="003D16B5" w:rsidRPr="00CF7B8E" w:rsidRDefault="007B793E">
      <w:pPr>
        <w:rPr>
          <w:kern w:val="2"/>
          <w14:ligatures w14:val="standardContextual"/>
        </w:rPr>
      </w:pPr>
      <w:r>
        <w:rPr>
          <w:rFonts w:ascii="Roboto" w:hAnsi="Roboto"/>
          <w:b/>
          <w:bCs/>
        </w:rPr>
        <w:t>Hip fractures and acute care burden</w:t>
      </w:r>
    </w:p>
    <w:p w14:paraId="797B7BA4" w14:textId="7A7564F4" w:rsidR="003D16B5" w:rsidRPr="00ED0870" w:rsidRDefault="005851C8">
      <w:pPr>
        <w:rPr>
          <w:rFonts w:ascii="Roboto" w:eastAsia="Roboto" w:hAnsi="Roboto" w:cs="Roboto"/>
        </w:rPr>
      </w:pPr>
      <w:r w:rsidRPr="00ED0870">
        <w:rPr>
          <w:rFonts w:ascii="Roboto" w:eastAsia="Roboto" w:hAnsi="Roboto" w:cs="Roboto"/>
        </w:rPr>
        <w:t>Hip fracture is the most common serious orthopaedic injury affecting older people. In Scotland, 7000 patients sustain a hip fracture each year, and this is projected to rise to 10,300 a year by 2029</w:t>
      </w:r>
      <w:r w:rsidR="00B85C5B" w:rsidRPr="00ED0870">
        <w:rPr>
          <w:rStyle w:val="EndnoteReference"/>
          <w:rFonts w:ascii="Roboto" w:eastAsia="Roboto" w:hAnsi="Roboto" w:cs="Roboto"/>
        </w:rPr>
        <w:endnoteReference w:id="39"/>
      </w:r>
      <w:r w:rsidRPr="00ED0870">
        <w:rPr>
          <w:rFonts w:ascii="Roboto" w:eastAsia="Roboto" w:hAnsi="Roboto" w:cs="Roboto"/>
        </w:rPr>
        <w:t>.</w:t>
      </w:r>
    </w:p>
    <w:p w14:paraId="797B7BA5" w14:textId="77777777" w:rsidR="003D16B5" w:rsidRPr="00ED0870" w:rsidRDefault="005851C8">
      <w:pPr>
        <w:rPr>
          <w:rFonts w:ascii="Roboto" w:hAnsi="Roboto"/>
          <w:b/>
          <w:bCs/>
        </w:rPr>
      </w:pPr>
      <w:r w:rsidRPr="00ED0870">
        <w:rPr>
          <w:rFonts w:ascii="Roboto" w:hAnsi="Roboto"/>
          <w:b/>
          <w:bCs/>
        </w:rPr>
        <w:t xml:space="preserve"> </w:t>
      </w:r>
    </w:p>
    <w:p w14:paraId="797B7BA6" w14:textId="5A3F3FD2" w:rsidR="003D16B5" w:rsidRPr="00ED0870" w:rsidRDefault="005851C8">
      <w:pPr>
        <w:rPr>
          <w:rFonts w:ascii="Roboto" w:eastAsia="Roboto" w:hAnsi="Roboto" w:cs="Roboto"/>
        </w:rPr>
      </w:pPr>
      <w:r w:rsidRPr="00ED0870">
        <w:rPr>
          <w:rFonts w:ascii="Roboto" w:eastAsia="Roboto" w:hAnsi="Roboto" w:cs="Roboto"/>
        </w:rPr>
        <w:t>Hip fractures account for the occupation of over 4,000 beds at any one time across England, Wales and Northern Ireland (more than 20% of Orthopaedic bed occupancy in the UK), and an average length of stay of 20.3 day</w:t>
      </w:r>
      <w:r w:rsidR="00B85C5B" w:rsidRPr="00ED0870">
        <w:rPr>
          <w:rFonts w:ascii="Roboto" w:eastAsia="Roboto" w:hAnsi="Roboto" w:cs="Roboto"/>
        </w:rPr>
        <w:t>s</w:t>
      </w:r>
      <w:r w:rsidR="00B85C5B" w:rsidRPr="00ED0870">
        <w:rPr>
          <w:rStyle w:val="EndnoteReference"/>
          <w:rFonts w:ascii="Roboto" w:eastAsia="Roboto" w:hAnsi="Roboto" w:cs="Roboto"/>
        </w:rPr>
        <w:endnoteReference w:id="40"/>
      </w:r>
      <w:r w:rsidRPr="00ED0870">
        <w:rPr>
          <w:rFonts w:ascii="Roboto" w:eastAsia="Roboto" w:hAnsi="Roboto" w:cs="Roboto"/>
        </w:rPr>
        <w:t xml:space="preserve">. </w:t>
      </w:r>
    </w:p>
    <w:p w14:paraId="60890067" w14:textId="77777777" w:rsidR="00CF7B8E" w:rsidRDefault="00CF7B8E">
      <w:pPr>
        <w:rPr>
          <w:rFonts w:ascii="Roboto" w:hAnsi="Roboto"/>
          <w:b/>
          <w:bCs/>
        </w:rPr>
      </w:pPr>
    </w:p>
    <w:p w14:paraId="797B7BA7" w14:textId="53E4B7CE" w:rsidR="003D16B5" w:rsidRPr="00CF7B8E" w:rsidRDefault="007B793E">
      <w:pPr>
        <w:rPr>
          <w:kern w:val="2"/>
          <w14:ligatures w14:val="standardContextual"/>
        </w:rPr>
      </w:pPr>
      <w:r>
        <w:rPr>
          <w:rFonts w:ascii="Roboto" w:hAnsi="Roboto"/>
          <w:b/>
          <w:bCs/>
        </w:rPr>
        <w:t>Health inequalities</w:t>
      </w:r>
    </w:p>
    <w:p w14:paraId="797B7BA8" w14:textId="5586628F" w:rsidR="003D16B5" w:rsidRPr="00ED0870" w:rsidRDefault="005851C8">
      <w:pPr>
        <w:rPr>
          <w:rFonts w:ascii="Roboto" w:eastAsia="Roboto" w:hAnsi="Roboto" w:cs="Roboto"/>
        </w:rPr>
      </w:pPr>
      <w:r w:rsidRPr="00ED0870">
        <w:rPr>
          <w:rFonts w:ascii="Roboto" w:eastAsia="Roboto" w:hAnsi="Roboto" w:cs="Roboto"/>
        </w:rPr>
        <w:t>Incidence of fragility fractures is an expression of health inequality, with the risk of fracture increasing by 25% for people of lower socio-economic status</w:t>
      </w:r>
      <w:r w:rsidR="00B85C5B" w:rsidRPr="00ED0870">
        <w:rPr>
          <w:rStyle w:val="EndnoteReference"/>
          <w:rFonts w:ascii="Roboto" w:eastAsia="Roboto" w:hAnsi="Roboto" w:cs="Roboto"/>
        </w:rPr>
        <w:endnoteReference w:id="41"/>
      </w:r>
      <w:r w:rsidRPr="00ED0870">
        <w:rPr>
          <w:rFonts w:ascii="Roboto" w:eastAsia="Roboto" w:hAnsi="Roboto" w:cs="Roboto"/>
        </w:rPr>
        <w:t xml:space="preserve"> </w:t>
      </w:r>
    </w:p>
    <w:p w14:paraId="0E8928F5" w14:textId="289B6FAE" w:rsidR="009A41D6" w:rsidRPr="009A41D6" w:rsidRDefault="005851C8" w:rsidP="00026BCC">
      <w:pPr>
        <w:rPr>
          <w:rFonts w:ascii="Roboto" w:eastAsia="Roboto" w:hAnsi="Roboto" w:cs="Roboto"/>
        </w:rPr>
      </w:pPr>
      <w:r w:rsidRPr="00ED0870">
        <w:rPr>
          <w:rFonts w:ascii="Roboto" w:eastAsia="Roboto" w:hAnsi="Roboto" w:cs="Roboto"/>
        </w:rPr>
        <w:t xml:space="preserve"> </w:t>
      </w:r>
    </w:p>
    <w:p w14:paraId="638FFF36" w14:textId="227844F0" w:rsidR="003D16B5" w:rsidRPr="00ED0870" w:rsidRDefault="00287428" w:rsidP="00026BCC">
      <w:pPr>
        <w:rPr>
          <w:rFonts w:ascii="Roboto" w:hAnsi="Roboto"/>
        </w:rPr>
      </w:pPr>
      <w:r w:rsidRPr="00287428">
        <w:rPr>
          <w:rFonts w:ascii="Roboto" w:hAnsi="Roboto"/>
          <w:b/>
          <w:bCs/>
        </w:rPr>
        <w:t>Costs and economic burden</w:t>
      </w:r>
    </w:p>
    <w:p w14:paraId="797B7BAD" w14:textId="5D57AC41" w:rsidR="003D16B5" w:rsidRPr="00ED0870" w:rsidRDefault="005851C8">
      <w:pPr>
        <w:rPr>
          <w:rFonts w:ascii="Roboto" w:eastAsia="Roboto" w:hAnsi="Roboto" w:cs="Roboto"/>
        </w:rPr>
      </w:pPr>
      <w:r w:rsidRPr="00ED0870">
        <w:rPr>
          <w:rFonts w:ascii="Roboto" w:eastAsia="Roboto" w:hAnsi="Roboto" w:cs="Roboto"/>
        </w:rPr>
        <w:t>Hip fractures place a significant burden on healthcare systems, accounting for around one million acute hospital bed days each year and costing approximately £2 billion annually in care</w:t>
      </w:r>
      <w:r w:rsidR="00B85C5B" w:rsidRPr="00ED0870">
        <w:rPr>
          <w:rStyle w:val="EndnoteReference"/>
          <w:rFonts w:ascii="Roboto" w:eastAsia="Roboto" w:hAnsi="Roboto" w:cs="Roboto"/>
        </w:rPr>
        <w:endnoteReference w:id="42"/>
      </w:r>
      <w:r w:rsidRPr="00ED0870">
        <w:rPr>
          <w:rFonts w:ascii="Roboto" w:eastAsia="Roboto" w:hAnsi="Roboto" w:cs="Roboto"/>
        </w:rPr>
        <w:t>.</w:t>
      </w:r>
    </w:p>
    <w:p w14:paraId="797B7BB9" w14:textId="13800C93" w:rsidR="003D16B5" w:rsidRPr="00462693" w:rsidRDefault="005851C8" w:rsidP="00462693">
      <w:pPr>
        <w:rPr>
          <w:rFonts w:ascii="Roboto" w:hAnsi="Roboto"/>
          <w:b/>
          <w:bCs/>
        </w:rPr>
      </w:pPr>
      <w:r w:rsidRPr="00ED0870">
        <w:rPr>
          <w:rFonts w:ascii="Roboto" w:hAnsi="Roboto"/>
          <w:b/>
          <w:bCs/>
        </w:rPr>
        <w:lastRenderedPageBreak/>
        <w:t xml:space="preserve"> </w:t>
      </w:r>
    </w:p>
    <w:sectPr w:rsidR="003D16B5" w:rsidRPr="00462693" w:rsidSect="00FA0BA8">
      <w:headerReference w:type="default" r:id="rId11"/>
      <w:footerReference w:type="default" r:id="rId12"/>
      <w:headerReference w:type="first" r:id="rId13"/>
      <w:endnotePr>
        <w:numFmt w:val="decimal"/>
      </w:endnotePr>
      <w:pgSz w:w="11909" w:h="16834"/>
      <w:pgMar w:top="1440" w:right="1440" w:bottom="1440" w:left="1440" w:header="1531"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E3379" w14:textId="77777777" w:rsidR="00214FA0" w:rsidRDefault="00214FA0" w:rsidP="00B85C5B">
      <w:pPr>
        <w:spacing w:line="240" w:lineRule="auto"/>
      </w:pPr>
      <w:r>
        <w:separator/>
      </w:r>
    </w:p>
  </w:endnote>
  <w:endnote w:type="continuationSeparator" w:id="0">
    <w:p w14:paraId="53350664" w14:textId="77777777" w:rsidR="00214FA0" w:rsidRDefault="00214FA0" w:rsidP="00B85C5B">
      <w:pPr>
        <w:spacing w:line="240" w:lineRule="auto"/>
      </w:pPr>
      <w:r>
        <w:continuationSeparator/>
      </w:r>
    </w:p>
  </w:endnote>
  <w:endnote w:id="1">
    <w:p w14:paraId="484C37B1" w14:textId="75F7955F" w:rsidR="003A1844" w:rsidRPr="003F156E" w:rsidRDefault="003A1844">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lang w:val="de-DE"/>
        </w:rPr>
        <w:t xml:space="preserve"> Kanis JA, Oden A, Johnell O et al. </w:t>
      </w:r>
      <w:r w:rsidRPr="003F156E">
        <w:rPr>
          <w:rFonts w:ascii="Roboto" w:hAnsi="Roboto"/>
          <w:sz w:val="22"/>
          <w:szCs w:val="22"/>
        </w:rPr>
        <w:t>(2001</w:t>
      </w:r>
      <w:r w:rsidRPr="003F156E">
        <w:rPr>
          <w:rFonts w:ascii="Roboto" w:hAnsi="Roboto"/>
          <w:i/>
          <w:iCs/>
          <w:sz w:val="22"/>
          <w:szCs w:val="22"/>
        </w:rPr>
        <w:t>) ‘The burden of osteoporotic fractures: a method for setting intervention thresholds’</w:t>
      </w:r>
      <w:r w:rsidRPr="003F156E">
        <w:rPr>
          <w:rFonts w:ascii="Roboto" w:hAnsi="Roboto"/>
          <w:sz w:val="22"/>
          <w:szCs w:val="22"/>
        </w:rPr>
        <w:t>. Osteoporosis International 12: 417–27.</w:t>
      </w:r>
    </w:p>
    <w:p w14:paraId="34DC409B" w14:textId="77777777" w:rsidR="00840336" w:rsidRPr="003F156E" w:rsidRDefault="00840336">
      <w:pPr>
        <w:pStyle w:val="EndnoteText"/>
        <w:rPr>
          <w:rFonts w:ascii="Roboto" w:hAnsi="Roboto"/>
          <w:sz w:val="22"/>
          <w:szCs w:val="22"/>
          <w:lang w:val="en-US"/>
        </w:rPr>
      </w:pPr>
    </w:p>
  </w:endnote>
  <w:endnote w:id="2">
    <w:p w14:paraId="47B977B9" w14:textId="0882E606" w:rsidR="00B85C5B" w:rsidRPr="003F156E" w:rsidRDefault="00B85C5B">
      <w:pPr>
        <w:pStyle w:val="EndnoteText"/>
        <w:rPr>
          <w:rFonts w:ascii="Roboto" w:eastAsia="Roboto" w:hAnsi="Roboto" w:cs="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w:t>
      </w:r>
      <w:r w:rsidRPr="003F156E">
        <w:rPr>
          <w:rFonts w:ascii="Roboto" w:eastAsia="Roboto" w:hAnsi="Roboto" w:cs="Roboto"/>
          <w:sz w:val="22"/>
          <w:szCs w:val="22"/>
        </w:rPr>
        <w:t>National Institutes of Health Consensus Development Conference statement (1991). The American Journal of Medicine</w:t>
      </w:r>
      <w:r w:rsidRPr="003F156E">
        <w:rPr>
          <w:rFonts w:ascii="Roboto" w:eastAsia="Roboto" w:hAnsi="Roboto" w:cs="Roboto"/>
          <w:i/>
          <w:iCs/>
          <w:sz w:val="22"/>
          <w:szCs w:val="22"/>
        </w:rPr>
        <w:t xml:space="preserve"> </w:t>
      </w:r>
      <w:r w:rsidRPr="003F156E">
        <w:rPr>
          <w:rFonts w:ascii="Roboto" w:eastAsia="Roboto" w:hAnsi="Roboto" w:cs="Roboto"/>
          <w:sz w:val="22"/>
          <w:szCs w:val="22"/>
        </w:rPr>
        <w:t>90(1), pp107–110.</w:t>
      </w:r>
    </w:p>
    <w:p w14:paraId="5A0406AA" w14:textId="77777777" w:rsidR="008E6DB5" w:rsidRPr="003F156E" w:rsidRDefault="008E6DB5">
      <w:pPr>
        <w:pStyle w:val="EndnoteText"/>
        <w:rPr>
          <w:rFonts w:ascii="Roboto" w:hAnsi="Roboto"/>
          <w:sz w:val="22"/>
          <w:szCs w:val="22"/>
          <w:lang w:val="en-US"/>
        </w:rPr>
      </w:pPr>
    </w:p>
  </w:endnote>
  <w:endnote w:id="3">
    <w:p w14:paraId="2DEC435B" w14:textId="77777777" w:rsidR="00E650BA" w:rsidRPr="003F156E" w:rsidRDefault="00E650BA" w:rsidP="00E650BA">
      <w:pPr>
        <w:spacing w:before="60" w:after="60"/>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Pr="003F156E">
        <w:rPr>
          <w:rFonts w:ascii="Roboto" w:eastAsia="Roboto" w:hAnsi="Roboto" w:cs="Roboto"/>
        </w:rPr>
        <w:t xml:space="preserve">McLellan AR, Reid DM, Forbes K et al., (2004) NHS Quality Improvement Scotland. </w:t>
      </w:r>
      <w:r w:rsidRPr="003F156E">
        <w:rPr>
          <w:rFonts w:ascii="Roboto" w:eastAsia="Roboto" w:hAnsi="Roboto" w:cs="Roboto"/>
          <w:i/>
          <w:iCs/>
        </w:rPr>
        <w:t>‘Effectiveness of Strategies for the Secondary Prevention of Osteoporotic Fractures in Scotland’</w:t>
      </w:r>
      <w:r w:rsidRPr="003F156E">
        <w:rPr>
          <w:rFonts w:ascii="Roboto" w:eastAsia="Roboto" w:hAnsi="Roboto" w:cs="Roboto"/>
        </w:rPr>
        <w:t>. Available at:</w:t>
      </w:r>
      <w:hyperlink r:id="rId1">
        <w:r w:rsidRPr="003F156E">
          <w:rPr>
            <w:rFonts w:ascii="Roboto" w:eastAsia="Roboto" w:hAnsi="Roboto" w:cs="Roboto"/>
          </w:rPr>
          <w:t xml:space="preserve"> </w:t>
        </w:r>
      </w:hyperlink>
      <w:hyperlink r:id="rId2">
        <w:r w:rsidRPr="003F156E">
          <w:rPr>
            <w:rFonts w:ascii="Roboto" w:eastAsia="Roboto" w:hAnsi="Roboto" w:cs="Roboto"/>
            <w:color w:val="1155CC"/>
            <w:u w:val="single"/>
          </w:rPr>
          <w:t>http://www.healthcareimprovementscotland.org/previous_resources/audit_report/osteoporotic_fractures_audit.aspx</w:t>
        </w:r>
      </w:hyperlink>
      <w:r w:rsidRPr="003F156E">
        <w:rPr>
          <w:rFonts w:ascii="Roboto" w:eastAsia="Roboto" w:hAnsi="Roboto" w:cs="Roboto"/>
        </w:rPr>
        <w:t xml:space="preserve">  (accessed February 2020)</w:t>
      </w:r>
    </w:p>
    <w:p w14:paraId="5BE0C9EE" w14:textId="77777777" w:rsidR="00E650BA" w:rsidRPr="003F156E" w:rsidRDefault="00E650BA" w:rsidP="00E650BA">
      <w:pPr>
        <w:pStyle w:val="EndnoteText"/>
        <w:rPr>
          <w:rFonts w:ascii="Roboto" w:hAnsi="Roboto"/>
          <w:sz w:val="22"/>
          <w:szCs w:val="22"/>
        </w:rPr>
      </w:pPr>
    </w:p>
  </w:endnote>
  <w:endnote w:id="4">
    <w:p w14:paraId="59AFA16D" w14:textId="77777777" w:rsidR="00E650BA" w:rsidRPr="003F156E" w:rsidRDefault="00E650BA" w:rsidP="00E650BA">
      <w:pPr>
        <w:spacing w:before="60" w:after="60"/>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Pr="003F156E">
        <w:rPr>
          <w:rFonts w:ascii="Roboto" w:eastAsia="Roboto" w:hAnsi="Roboto" w:cs="Roboto"/>
        </w:rPr>
        <w:t xml:space="preserve">McLellan AR, Reid DM, Forbes K et al., (2004) NHS Quality Improvement Scotland. </w:t>
      </w:r>
      <w:r w:rsidRPr="003F156E">
        <w:rPr>
          <w:rFonts w:ascii="Roboto" w:eastAsia="Roboto" w:hAnsi="Roboto" w:cs="Roboto"/>
          <w:i/>
          <w:iCs/>
        </w:rPr>
        <w:t>‘Effectiveness of Strategies for the Secondary Prevention of Osteoporotic Fractures in Scotland’</w:t>
      </w:r>
      <w:r w:rsidRPr="003F156E">
        <w:rPr>
          <w:rFonts w:ascii="Roboto" w:eastAsia="Roboto" w:hAnsi="Roboto" w:cs="Roboto"/>
        </w:rPr>
        <w:t>. Available at:</w:t>
      </w:r>
      <w:hyperlink r:id="rId3">
        <w:r w:rsidRPr="003F156E">
          <w:rPr>
            <w:rFonts w:ascii="Roboto" w:eastAsia="Roboto" w:hAnsi="Roboto" w:cs="Roboto"/>
          </w:rPr>
          <w:t xml:space="preserve"> </w:t>
        </w:r>
      </w:hyperlink>
      <w:hyperlink r:id="rId4">
        <w:r w:rsidRPr="003F156E">
          <w:rPr>
            <w:rFonts w:ascii="Roboto" w:eastAsia="Roboto" w:hAnsi="Roboto" w:cs="Roboto"/>
            <w:color w:val="1155CC"/>
            <w:u w:val="single"/>
          </w:rPr>
          <w:t>http://www.healthcareimprovementscotland.org/previous_resources/audit_report/osteoporotic_fractures_audit.aspx</w:t>
        </w:r>
      </w:hyperlink>
      <w:r w:rsidRPr="003F156E">
        <w:rPr>
          <w:rFonts w:ascii="Roboto" w:eastAsia="Roboto" w:hAnsi="Roboto" w:cs="Roboto"/>
        </w:rPr>
        <w:t xml:space="preserve">  (accessed February 2020)</w:t>
      </w:r>
    </w:p>
    <w:p w14:paraId="41D0B700" w14:textId="77777777" w:rsidR="00E650BA" w:rsidRPr="003F156E" w:rsidRDefault="00E650BA" w:rsidP="00E650BA">
      <w:pPr>
        <w:pStyle w:val="EndnoteText"/>
        <w:rPr>
          <w:rFonts w:ascii="Roboto" w:hAnsi="Roboto"/>
          <w:sz w:val="22"/>
          <w:szCs w:val="22"/>
        </w:rPr>
      </w:pPr>
    </w:p>
  </w:endnote>
  <w:endnote w:id="5">
    <w:p w14:paraId="7F09641F" w14:textId="77777777" w:rsidR="00E650BA" w:rsidRPr="003F156E" w:rsidRDefault="00E650BA" w:rsidP="00E650BA">
      <w:pPr>
        <w:spacing w:before="60" w:after="60"/>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Pr="003F156E">
        <w:rPr>
          <w:rFonts w:ascii="Roboto" w:eastAsia="Roboto" w:hAnsi="Roboto" w:cs="Roboto"/>
        </w:rPr>
        <w:t xml:space="preserve">McLellan AR, Reid DM, Forbes K et al., (2004) NHS Quality Improvement Scotland. </w:t>
      </w:r>
      <w:r w:rsidRPr="003F156E">
        <w:rPr>
          <w:rFonts w:ascii="Roboto" w:eastAsia="Roboto" w:hAnsi="Roboto" w:cs="Roboto"/>
          <w:i/>
          <w:iCs/>
        </w:rPr>
        <w:t>‘Effectiveness of Strategies for the Secondary Prevention of Osteoporotic Fractures in Scotland’</w:t>
      </w:r>
      <w:r w:rsidRPr="003F156E">
        <w:rPr>
          <w:rFonts w:ascii="Roboto" w:eastAsia="Roboto" w:hAnsi="Roboto" w:cs="Roboto"/>
        </w:rPr>
        <w:t>. Available at:</w:t>
      </w:r>
      <w:hyperlink r:id="rId5">
        <w:r w:rsidRPr="003F156E">
          <w:rPr>
            <w:rFonts w:ascii="Roboto" w:eastAsia="Roboto" w:hAnsi="Roboto" w:cs="Roboto"/>
          </w:rPr>
          <w:t xml:space="preserve"> </w:t>
        </w:r>
      </w:hyperlink>
      <w:hyperlink r:id="rId6">
        <w:r w:rsidRPr="003F156E">
          <w:rPr>
            <w:rFonts w:ascii="Roboto" w:eastAsia="Roboto" w:hAnsi="Roboto" w:cs="Roboto"/>
            <w:color w:val="1155CC"/>
            <w:u w:val="single"/>
          </w:rPr>
          <w:t>http://www.healthcareimprovementscotland.org/previous_resources/audit_report/osteoporotic_fractures_audit.aspx</w:t>
        </w:r>
      </w:hyperlink>
      <w:r w:rsidRPr="003F156E">
        <w:rPr>
          <w:rFonts w:ascii="Roboto" w:eastAsia="Roboto" w:hAnsi="Roboto" w:cs="Roboto"/>
        </w:rPr>
        <w:t xml:space="preserve">  (accessed February 2020)</w:t>
      </w:r>
    </w:p>
    <w:p w14:paraId="2652F366" w14:textId="77777777" w:rsidR="00E650BA" w:rsidRPr="003F156E" w:rsidRDefault="00E650BA" w:rsidP="00E650BA">
      <w:pPr>
        <w:pStyle w:val="EndnoteText"/>
        <w:rPr>
          <w:rFonts w:ascii="Roboto" w:hAnsi="Roboto"/>
          <w:sz w:val="22"/>
          <w:szCs w:val="22"/>
        </w:rPr>
      </w:pPr>
    </w:p>
  </w:endnote>
  <w:endnote w:id="6">
    <w:p w14:paraId="57504687" w14:textId="77777777" w:rsidR="00E650BA" w:rsidRPr="003F156E" w:rsidRDefault="00E650BA" w:rsidP="00E650BA">
      <w:pPr>
        <w:spacing w:before="60" w:after="60"/>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Pr="003F156E">
        <w:rPr>
          <w:rFonts w:ascii="Roboto" w:eastAsia="Roboto" w:hAnsi="Roboto" w:cs="Roboto"/>
        </w:rPr>
        <w:t xml:space="preserve">McLellan AR, Reid DM, Forbes K et al., (2004) NHS Quality Improvement Scotland. </w:t>
      </w:r>
      <w:r w:rsidRPr="003F156E">
        <w:rPr>
          <w:rFonts w:ascii="Roboto" w:eastAsia="Roboto" w:hAnsi="Roboto" w:cs="Roboto"/>
          <w:i/>
          <w:iCs/>
        </w:rPr>
        <w:t>‘Effectiveness of Strategies for the Secondary Prevention of Osteoporotic Fractures in Scotland’</w:t>
      </w:r>
      <w:r w:rsidRPr="003F156E">
        <w:rPr>
          <w:rFonts w:ascii="Roboto" w:eastAsia="Roboto" w:hAnsi="Roboto" w:cs="Roboto"/>
        </w:rPr>
        <w:t>. Available at:</w:t>
      </w:r>
      <w:hyperlink r:id="rId7">
        <w:r w:rsidRPr="003F156E">
          <w:rPr>
            <w:rFonts w:ascii="Roboto" w:eastAsia="Roboto" w:hAnsi="Roboto" w:cs="Roboto"/>
          </w:rPr>
          <w:t xml:space="preserve"> </w:t>
        </w:r>
      </w:hyperlink>
      <w:hyperlink r:id="rId8">
        <w:r w:rsidRPr="003F156E">
          <w:rPr>
            <w:rFonts w:ascii="Roboto" w:eastAsia="Roboto" w:hAnsi="Roboto" w:cs="Roboto"/>
            <w:color w:val="1155CC"/>
            <w:u w:val="single"/>
          </w:rPr>
          <w:t>http://www.healthcareimprovementscotland.org/previous_resources/audit_report/osteoporotic_fractures_audit.aspx</w:t>
        </w:r>
      </w:hyperlink>
      <w:r w:rsidRPr="003F156E">
        <w:rPr>
          <w:rFonts w:ascii="Roboto" w:eastAsia="Roboto" w:hAnsi="Roboto" w:cs="Roboto"/>
        </w:rPr>
        <w:t xml:space="preserve">  (accessed February 2020)</w:t>
      </w:r>
    </w:p>
    <w:p w14:paraId="3DAE84E8" w14:textId="77777777" w:rsidR="00E650BA" w:rsidRPr="003F156E" w:rsidRDefault="00E650BA" w:rsidP="00E650BA">
      <w:pPr>
        <w:pStyle w:val="EndnoteText"/>
        <w:rPr>
          <w:rFonts w:ascii="Roboto" w:hAnsi="Roboto"/>
          <w:sz w:val="22"/>
          <w:szCs w:val="22"/>
        </w:rPr>
      </w:pPr>
    </w:p>
  </w:endnote>
  <w:endnote w:id="7">
    <w:p w14:paraId="764BFAEB" w14:textId="534248EF" w:rsidR="00B85C5B" w:rsidRPr="003F156E" w:rsidRDefault="00B85C5B" w:rsidP="00B85C5B">
      <w:pPr>
        <w:spacing w:after="120"/>
        <w:jc w:val="both"/>
        <w:rPr>
          <w:rFonts w:ascii="Roboto" w:hAnsi="Roboto"/>
          <w:lang w:val="en-US"/>
        </w:rPr>
      </w:pPr>
      <w:r w:rsidRPr="003F156E">
        <w:rPr>
          <w:rStyle w:val="EndnoteReference"/>
          <w:rFonts w:ascii="Roboto" w:hAnsi="Roboto"/>
        </w:rPr>
        <w:endnoteRef/>
      </w:r>
      <w:r w:rsidRPr="003F156E">
        <w:rPr>
          <w:rFonts w:ascii="Roboto" w:hAnsi="Roboto"/>
        </w:rPr>
        <w:t xml:space="preserve"> </w:t>
      </w:r>
      <w:proofErr w:type="spellStart"/>
      <w:r w:rsidRPr="003F156E">
        <w:rPr>
          <w:rFonts w:ascii="Roboto" w:eastAsia="Roboto" w:hAnsi="Roboto" w:cs="Roboto"/>
        </w:rPr>
        <w:t>Svedbom</w:t>
      </w:r>
      <w:proofErr w:type="spellEnd"/>
      <w:r w:rsidRPr="003F156E">
        <w:rPr>
          <w:rFonts w:ascii="Roboto" w:eastAsia="Roboto" w:hAnsi="Roboto" w:cs="Roboto"/>
        </w:rPr>
        <w:t xml:space="preserve"> A, </w:t>
      </w:r>
      <w:proofErr w:type="spellStart"/>
      <w:r w:rsidRPr="003F156E">
        <w:rPr>
          <w:rFonts w:ascii="Roboto" w:eastAsia="Roboto" w:hAnsi="Roboto" w:cs="Roboto"/>
        </w:rPr>
        <w:t>Hernlund</w:t>
      </w:r>
      <w:proofErr w:type="spellEnd"/>
      <w:r w:rsidRPr="003F156E">
        <w:rPr>
          <w:rFonts w:ascii="Roboto" w:eastAsia="Roboto" w:hAnsi="Roboto" w:cs="Roboto"/>
        </w:rPr>
        <w:t xml:space="preserve"> E, </w:t>
      </w:r>
      <w:proofErr w:type="spellStart"/>
      <w:r w:rsidRPr="003F156E">
        <w:rPr>
          <w:rFonts w:ascii="Roboto" w:eastAsia="Roboto" w:hAnsi="Roboto" w:cs="Roboto"/>
        </w:rPr>
        <w:t>Ivergård</w:t>
      </w:r>
      <w:proofErr w:type="spellEnd"/>
      <w:r w:rsidRPr="003F156E">
        <w:rPr>
          <w:rFonts w:ascii="Roboto" w:eastAsia="Roboto" w:hAnsi="Roboto" w:cs="Roboto"/>
        </w:rPr>
        <w:t xml:space="preserve"> M, Compston J, Cooper C, Stenmark J, McCloskey EV, Jönsson B, Kanis JA, EU Review Panel of IOF. (2013). Osteoporosis in the European Union: a compendium of country-specific reports. Arch </w:t>
      </w:r>
      <w:proofErr w:type="spellStart"/>
      <w:r w:rsidRPr="003F156E">
        <w:rPr>
          <w:rFonts w:ascii="Roboto" w:eastAsia="Roboto" w:hAnsi="Roboto" w:cs="Roboto"/>
        </w:rPr>
        <w:t>Osteoporos</w:t>
      </w:r>
      <w:proofErr w:type="spellEnd"/>
      <w:r w:rsidRPr="003F156E">
        <w:rPr>
          <w:rFonts w:ascii="Roboto" w:eastAsia="Roboto" w:hAnsi="Roboto" w:cs="Roboto"/>
        </w:rPr>
        <w:t>. 8(1-2):137</w:t>
      </w:r>
    </w:p>
  </w:endnote>
  <w:endnote w:id="8">
    <w:p w14:paraId="5CCB851D" w14:textId="77777777" w:rsidR="00A65FA5" w:rsidRPr="003F156E" w:rsidRDefault="00A65FA5" w:rsidP="00A65FA5">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Baji P, Patel R, Judge A, Johansen A, Griffin J, Chesser T et al. Organisational factors associated with hospital costs and patient mortality in the 365 days following hip fracture in England and Wales (REDUCE): a record-linkage cohort study. Lancet Healthy Longev. 2023 Aug;4(8):e386-e398. </w:t>
      </w:r>
    </w:p>
    <w:p w14:paraId="06BE97C2" w14:textId="77777777" w:rsidR="00A65FA5" w:rsidRPr="003F156E" w:rsidRDefault="00A65FA5" w:rsidP="00A65FA5">
      <w:pPr>
        <w:pStyle w:val="EndnoteText"/>
        <w:rPr>
          <w:rFonts w:ascii="Roboto" w:hAnsi="Roboto"/>
          <w:sz w:val="22"/>
          <w:szCs w:val="22"/>
          <w:lang w:val="en-US"/>
        </w:rPr>
      </w:pPr>
    </w:p>
  </w:endnote>
  <w:endnote w:id="9">
    <w:p w14:paraId="58D0A85E" w14:textId="77777777" w:rsidR="00A65FA5" w:rsidRPr="003F156E" w:rsidRDefault="00A65FA5" w:rsidP="00A65FA5">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Neuburger J, Currie C, Wakeman R, Tsang C, Plant F, De Stavola B et al. The impact of a national clinician-led audit initiative on care and mortality after hip fracture in England: an external evaluation using time trends in non-audit data. Med Care. 2015 Aug;53(8):686-91. </w:t>
      </w:r>
    </w:p>
    <w:p w14:paraId="57D81582" w14:textId="77777777" w:rsidR="00A65FA5" w:rsidRPr="003F156E" w:rsidRDefault="00A65FA5" w:rsidP="00A65FA5">
      <w:pPr>
        <w:pStyle w:val="EndnoteText"/>
        <w:rPr>
          <w:rFonts w:ascii="Roboto" w:hAnsi="Roboto"/>
          <w:sz w:val="22"/>
          <w:szCs w:val="22"/>
          <w:lang w:val="en-US"/>
        </w:rPr>
      </w:pPr>
    </w:p>
  </w:endnote>
  <w:endnote w:id="10">
    <w:p w14:paraId="5858142D" w14:textId="77777777" w:rsidR="004F17DE" w:rsidRPr="003F156E" w:rsidRDefault="004F17DE" w:rsidP="004F17DE">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Calculated based on British National Formulary, NHS indicative price for </w:t>
      </w:r>
      <w:proofErr w:type="spellStart"/>
      <w:r w:rsidRPr="003F156E">
        <w:rPr>
          <w:rFonts w:ascii="Roboto" w:hAnsi="Roboto"/>
          <w:sz w:val="22"/>
          <w:szCs w:val="22"/>
        </w:rPr>
        <w:t>Alendronic</w:t>
      </w:r>
      <w:proofErr w:type="spellEnd"/>
      <w:r w:rsidRPr="003F156E">
        <w:rPr>
          <w:rFonts w:ascii="Roboto" w:hAnsi="Roboto"/>
          <w:sz w:val="22"/>
          <w:szCs w:val="22"/>
        </w:rPr>
        <w:t xml:space="preserve"> acid 70mg tablets, Accessed: 2/4/24. Available at:  https://bnf.nice.org.uk/drugs/alendronic-acid/medicinal-forms/ </w:t>
      </w:r>
    </w:p>
    <w:p w14:paraId="460AEAA6" w14:textId="77777777" w:rsidR="004F17DE" w:rsidRPr="003F156E" w:rsidRDefault="004F17DE" w:rsidP="004F17DE">
      <w:pPr>
        <w:pStyle w:val="EndnoteText"/>
        <w:rPr>
          <w:rFonts w:ascii="Roboto" w:hAnsi="Roboto"/>
          <w:sz w:val="22"/>
          <w:szCs w:val="22"/>
          <w:lang w:val="en-US"/>
        </w:rPr>
      </w:pPr>
    </w:p>
  </w:endnote>
  <w:endnote w:id="11">
    <w:p w14:paraId="61659C50" w14:textId="77777777" w:rsidR="00A94264" w:rsidRPr="003F156E" w:rsidRDefault="00A94264" w:rsidP="00A94264">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Dolan P, Torgerson DJ. The cost of treating osteoporotic fractures in the United Kingdom female population. </w:t>
      </w:r>
      <w:proofErr w:type="spellStart"/>
      <w:r w:rsidRPr="003F156E">
        <w:rPr>
          <w:rFonts w:ascii="Roboto" w:hAnsi="Roboto"/>
          <w:sz w:val="22"/>
          <w:szCs w:val="22"/>
        </w:rPr>
        <w:t>Osteoporos</w:t>
      </w:r>
      <w:proofErr w:type="spellEnd"/>
      <w:r w:rsidRPr="003F156E">
        <w:rPr>
          <w:rFonts w:ascii="Roboto" w:hAnsi="Roboto"/>
          <w:sz w:val="22"/>
          <w:szCs w:val="22"/>
        </w:rPr>
        <w:t xml:space="preserve"> Int. 1998;8(6):611-7. </w:t>
      </w:r>
    </w:p>
    <w:p w14:paraId="122A8FDE" w14:textId="77777777" w:rsidR="00A94264" w:rsidRPr="003F156E" w:rsidRDefault="00A94264" w:rsidP="00A94264">
      <w:pPr>
        <w:pStyle w:val="EndnoteText"/>
        <w:rPr>
          <w:rFonts w:ascii="Roboto" w:hAnsi="Roboto"/>
          <w:sz w:val="22"/>
          <w:szCs w:val="22"/>
          <w:lang w:val="en-US"/>
        </w:rPr>
      </w:pPr>
    </w:p>
  </w:endnote>
  <w:endnote w:id="12">
    <w:p w14:paraId="591BBEDA" w14:textId="77777777" w:rsidR="008E6DB5" w:rsidRPr="003F156E" w:rsidRDefault="008E6DB5" w:rsidP="008E6DB5">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Ismail AA, Cockerill W, Cooper C, Finn JD, Abendroth K, Parisi G et al. Prevalent vertebral deformity predicts incident hip though not distal forearm fracture: results from the European Prospective Osteoporosis Study. </w:t>
      </w:r>
      <w:proofErr w:type="spellStart"/>
      <w:r w:rsidRPr="003F156E">
        <w:rPr>
          <w:rFonts w:ascii="Roboto" w:hAnsi="Roboto"/>
          <w:sz w:val="22"/>
          <w:szCs w:val="22"/>
        </w:rPr>
        <w:t>Osteoporos</w:t>
      </w:r>
      <w:proofErr w:type="spellEnd"/>
      <w:r w:rsidRPr="003F156E">
        <w:rPr>
          <w:rFonts w:ascii="Roboto" w:hAnsi="Roboto"/>
          <w:sz w:val="22"/>
          <w:szCs w:val="22"/>
        </w:rPr>
        <w:t xml:space="preserve"> Int. 2001;12(2):85-90. </w:t>
      </w:r>
    </w:p>
    <w:p w14:paraId="1875A8A2" w14:textId="77777777" w:rsidR="008E6DB5" w:rsidRPr="003F156E" w:rsidRDefault="008E6DB5" w:rsidP="008E6DB5">
      <w:pPr>
        <w:pStyle w:val="EndnoteText"/>
        <w:rPr>
          <w:rFonts w:ascii="Roboto" w:hAnsi="Roboto"/>
          <w:sz w:val="22"/>
          <w:szCs w:val="22"/>
          <w:lang w:val="en-US"/>
        </w:rPr>
      </w:pPr>
    </w:p>
  </w:endnote>
  <w:endnote w:id="13">
    <w:p w14:paraId="227C9D13" w14:textId="77777777" w:rsidR="00CE587B" w:rsidRPr="003F156E" w:rsidRDefault="00CE587B" w:rsidP="00CE587B">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Murphy T, </w:t>
      </w:r>
      <w:proofErr w:type="spellStart"/>
      <w:r w:rsidRPr="003F156E">
        <w:rPr>
          <w:rFonts w:ascii="Roboto" w:hAnsi="Roboto"/>
          <w:sz w:val="22"/>
          <w:szCs w:val="22"/>
        </w:rPr>
        <w:t>Culliford</w:t>
      </w:r>
      <w:proofErr w:type="spellEnd"/>
      <w:r w:rsidRPr="003F156E">
        <w:rPr>
          <w:rFonts w:ascii="Roboto" w:hAnsi="Roboto"/>
          <w:sz w:val="22"/>
          <w:szCs w:val="22"/>
        </w:rPr>
        <w:t xml:space="preserve"> DJ, Hawley S, Johansen A, Whitehouse MR, Judge A et al. Hip fracture projections up to the year 2060: an analysis based on data from the National Hip Fracture Database (NHFD) for England, Wales, and Northern Ireland. Injury. 2024 Nov;55(11):111863. </w:t>
      </w:r>
    </w:p>
    <w:p w14:paraId="21A29707" w14:textId="77777777" w:rsidR="00CE587B" w:rsidRPr="003F156E" w:rsidRDefault="00CE587B" w:rsidP="00CE587B">
      <w:pPr>
        <w:pStyle w:val="EndnoteText"/>
        <w:rPr>
          <w:rFonts w:ascii="Roboto" w:hAnsi="Roboto"/>
          <w:sz w:val="22"/>
          <w:szCs w:val="22"/>
          <w:lang w:val="en-US"/>
        </w:rPr>
      </w:pPr>
    </w:p>
  </w:endnote>
  <w:endnote w:id="14">
    <w:p w14:paraId="7588B910" w14:textId="77777777" w:rsidR="00CE587B" w:rsidRPr="003F156E" w:rsidRDefault="00CE587B" w:rsidP="00CE587B">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APPG on osteoporosis and bone health. Inquiry report: How to end the postcode lottery for access to a quality Fracture Liaison Service. 2021 </w:t>
      </w:r>
    </w:p>
    <w:p w14:paraId="19308CA2" w14:textId="77777777" w:rsidR="00CE587B" w:rsidRPr="003F156E" w:rsidRDefault="00CE587B" w:rsidP="00CE587B">
      <w:pPr>
        <w:pStyle w:val="EndnoteText"/>
        <w:rPr>
          <w:rFonts w:ascii="Roboto" w:hAnsi="Roboto"/>
          <w:sz w:val="22"/>
          <w:szCs w:val="22"/>
          <w:lang w:val="en-US"/>
        </w:rPr>
      </w:pPr>
    </w:p>
  </w:endnote>
  <w:endnote w:id="15">
    <w:p w14:paraId="768FD307" w14:textId="77777777" w:rsidR="00CE587B" w:rsidRPr="003F156E" w:rsidRDefault="00CE587B" w:rsidP="00CE587B">
      <w:pPr>
        <w:pStyle w:val="EndnoteText"/>
        <w:rPr>
          <w:rFonts w:ascii="Roboto" w:hAnsi="Roboto"/>
          <w:sz w:val="22"/>
          <w:szCs w:val="22"/>
          <w:lang w:val="en-US"/>
        </w:rPr>
      </w:pPr>
      <w:r w:rsidRPr="003F156E">
        <w:rPr>
          <w:rStyle w:val="EndnoteReference"/>
          <w:rFonts w:ascii="Roboto" w:hAnsi="Roboto"/>
          <w:sz w:val="22"/>
          <w:szCs w:val="22"/>
        </w:rPr>
        <w:endnoteRef/>
      </w:r>
      <w:r w:rsidRPr="003F156E">
        <w:rPr>
          <w:rFonts w:ascii="Roboto" w:hAnsi="Roboto"/>
          <w:sz w:val="22"/>
          <w:szCs w:val="22"/>
        </w:rPr>
        <w:t xml:space="preserve"> </w:t>
      </w:r>
      <w:proofErr w:type="spellStart"/>
      <w:r w:rsidRPr="003F156E">
        <w:rPr>
          <w:rFonts w:ascii="Roboto" w:hAnsi="Roboto"/>
          <w:sz w:val="22"/>
          <w:szCs w:val="22"/>
        </w:rPr>
        <w:t>Avgerinou</w:t>
      </w:r>
      <w:proofErr w:type="spellEnd"/>
      <w:r w:rsidRPr="003F156E">
        <w:rPr>
          <w:rFonts w:ascii="Roboto" w:hAnsi="Roboto"/>
          <w:sz w:val="22"/>
          <w:szCs w:val="22"/>
        </w:rPr>
        <w:t xml:space="preserve"> C, Petersen I, Clegg A, West RM, Osborn D, Walters K. Trends in incidence of recorded diagnosis of osteoporosis, osteopenia, and fragility fractures in people aged 50 years and above: retrospective cohort study using UK primary care data. </w:t>
      </w:r>
      <w:proofErr w:type="spellStart"/>
      <w:r w:rsidRPr="003F156E">
        <w:rPr>
          <w:rFonts w:ascii="Roboto" w:hAnsi="Roboto"/>
          <w:sz w:val="22"/>
          <w:szCs w:val="22"/>
        </w:rPr>
        <w:t>Osteoporos</w:t>
      </w:r>
      <w:proofErr w:type="spellEnd"/>
      <w:r w:rsidRPr="003F156E">
        <w:rPr>
          <w:rFonts w:ascii="Roboto" w:hAnsi="Roboto"/>
          <w:sz w:val="22"/>
          <w:szCs w:val="22"/>
        </w:rPr>
        <w:t xml:space="preserve"> Int. 2023 Aug;34(8):1411-1427. </w:t>
      </w:r>
    </w:p>
  </w:endnote>
  <w:endnote w:id="16">
    <w:p w14:paraId="069FABE2" w14:textId="77777777" w:rsidR="00CE587B" w:rsidRPr="003F156E" w:rsidRDefault="00CE587B" w:rsidP="00CE587B">
      <w:pPr>
        <w:pStyle w:val="EndnoteText"/>
        <w:rPr>
          <w:rFonts w:ascii="Roboto" w:hAnsi="Roboto"/>
          <w:sz w:val="22"/>
          <w:szCs w:val="22"/>
        </w:rPr>
      </w:pPr>
    </w:p>
    <w:p w14:paraId="3691A5CA" w14:textId="77777777" w:rsidR="00CE587B" w:rsidRPr="003F156E" w:rsidRDefault="00CE587B" w:rsidP="00CE587B">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APPG on osteoporosis and bone health, Royal Osteoporosis Society. Inquiry Report 2025: Seen. Heard. Supported. Transforming osteoporosis care. 2026. </w:t>
      </w:r>
      <w:hyperlink r:id="rId9" w:history="1">
        <w:r w:rsidRPr="003F156E">
          <w:rPr>
            <w:rStyle w:val="Hyperlink"/>
            <w:rFonts w:ascii="Roboto" w:hAnsi="Roboto"/>
            <w:sz w:val="22"/>
            <w:szCs w:val="22"/>
          </w:rPr>
          <w:t>https://theros.org.uk/how-you-can-help/get-involved/campaign-with-us/all-party-parliamentary-group-on-osteoporosis/</w:t>
        </w:r>
      </w:hyperlink>
    </w:p>
    <w:p w14:paraId="0C920210" w14:textId="77777777" w:rsidR="00CE587B" w:rsidRPr="003F156E" w:rsidRDefault="00CE587B" w:rsidP="00CE587B">
      <w:pPr>
        <w:pStyle w:val="EndnoteText"/>
        <w:rPr>
          <w:rFonts w:ascii="Roboto" w:hAnsi="Roboto"/>
          <w:sz w:val="22"/>
          <w:szCs w:val="22"/>
          <w:lang w:val="en-US"/>
        </w:rPr>
      </w:pPr>
    </w:p>
  </w:endnote>
  <w:endnote w:id="17">
    <w:p w14:paraId="313E01B6" w14:textId="77777777" w:rsidR="009F7E7A" w:rsidRPr="003F156E" w:rsidRDefault="009F7E7A" w:rsidP="009F7E7A">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Royal College of Physicians. Fracture Liaison Service Database (FLS-DB) Annual Report. Steps to fracture liaison service effectiveness: importance of treatment recommendations. Data from 2024. 2026. </w:t>
      </w:r>
      <w:hyperlink r:id="rId10" w:history="1">
        <w:r w:rsidRPr="003F156E">
          <w:rPr>
            <w:rStyle w:val="Hyperlink"/>
            <w:rFonts w:ascii="Roboto" w:hAnsi="Roboto"/>
            <w:sz w:val="22"/>
            <w:szCs w:val="22"/>
          </w:rPr>
          <w:t>https://www.rcp.ac.uk/95436</w:t>
        </w:r>
      </w:hyperlink>
    </w:p>
    <w:p w14:paraId="32D47D42" w14:textId="77777777" w:rsidR="009F7E7A" w:rsidRPr="003F156E" w:rsidRDefault="009F7E7A" w:rsidP="009F7E7A">
      <w:pPr>
        <w:pStyle w:val="EndnoteText"/>
        <w:rPr>
          <w:rFonts w:ascii="Roboto" w:hAnsi="Roboto"/>
          <w:sz w:val="22"/>
          <w:szCs w:val="22"/>
          <w:lang w:val="en-US"/>
        </w:rPr>
      </w:pPr>
    </w:p>
  </w:endnote>
  <w:endnote w:id="18">
    <w:p w14:paraId="1CD61429" w14:textId="77777777" w:rsidR="009F7E7A" w:rsidRPr="003F156E" w:rsidRDefault="009F7E7A" w:rsidP="009F7E7A">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Black DM, Cummings SR, Karpf DB, Cauley JA, Thompson DE, Nevitt MC et al. Randomised trial of effect of alendronate on risk of fracture in women with existing vertebral fractures. Fracture Intervention Trial Research Group. Lancet. 1996 Dec 7;348(9041):1535-41. </w:t>
      </w:r>
    </w:p>
    <w:p w14:paraId="5BD031CC" w14:textId="77777777" w:rsidR="009F7E7A" w:rsidRPr="003F156E" w:rsidRDefault="009F7E7A" w:rsidP="009F7E7A">
      <w:pPr>
        <w:pStyle w:val="EndnoteText"/>
        <w:rPr>
          <w:rFonts w:ascii="Roboto" w:hAnsi="Roboto"/>
          <w:sz w:val="22"/>
          <w:szCs w:val="22"/>
          <w:lang w:val="en-US"/>
        </w:rPr>
      </w:pPr>
    </w:p>
  </w:endnote>
  <w:endnote w:id="19">
    <w:p w14:paraId="5D135532" w14:textId="77777777" w:rsidR="009F7E7A" w:rsidRPr="003F156E" w:rsidRDefault="009F7E7A" w:rsidP="009F7E7A">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Melton LJ 3rd, Crowson CS, O'Fallon WM. Fracture incidence in Olmsted County, Minnesota: comparison of urban with rural rates and changes in urban rates over time. </w:t>
      </w:r>
      <w:proofErr w:type="spellStart"/>
      <w:r w:rsidRPr="003F156E">
        <w:rPr>
          <w:rFonts w:ascii="Roboto" w:hAnsi="Roboto"/>
          <w:sz w:val="22"/>
          <w:szCs w:val="22"/>
        </w:rPr>
        <w:t>Osteoporos</w:t>
      </w:r>
      <w:proofErr w:type="spellEnd"/>
      <w:r w:rsidRPr="003F156E">
        <w:rPr>
          <w:rFonts w:ascii="Roboto" w:hAnsi="Roboto"/>
          <w:sz w:val="22"/>
          <w:szCs w:val="22"/>
        </w:rPr>
        <w:t xml:space="preserve"> Int. 1999;9(1):29-37. </w:t>
      </w:r>
    </w:p>
    <w:p w14:paraId="49B84331" w14:textId="77777777" w:rsidR="009F7E7A" w:rsidRPr="003F156E" w:rsidRDefault="009F7E7A" w:rsidP="009F7E7A">
      <w:pPr>
        <w:pStyle w:val="EndnoteText"/>
        <w:rPr>
          <w:rFonts w:ascii="Roboto" w:hAnsi="Roboto"/>
          <w:sz w:val="22"/>
          <w:szCs w:val="22"/>
          <w:lang w:val="en-US"/>
        </w:rPr>
      </w:pPr>
    </w:p>
  </w:endnote>
  <w:endnote w:id="20">
    <w:p w14:paraId="3CF69B73" w14:textId="77777777" w:rsidR="009F7E7A" w:rsidRPr="003F156E" w:rsidRDefault="009F7E7A" w:rsidP="009F7E7A">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Black DM, Arden NK, Palermo L, Pearson J, Cummings SR. Prevalent vertebral deformities predict hip fractures and new vertebral deformities but not wrist fractures. Study of Osteoporotic Fractures Research Group. J Bone Miner Res. 1999 May;14(5):821-8.</w:t>
      </w:r>
    </w:p>
    <w:p w14:paraId="5BB64CCA" w14:textId="77777777" w:rsidR="009F7E7A" w:rsidRPr="003F156E" w:rsidRDefault="009F7E7A" w:rsidP="009F7E7A">
      <w:pPr>
        <w:pStyle w:val="EndnoteText"/>
        <w:rPr>
          <w:rFonts w:ascii="Roboto" w:hAnsi="Roboto"/>
          <w:sz w:val="22"/>
          <w:szCs w:val="22"/>
          <w:lang w:val="en-US"/>
        </w:rPr>
      </w:pPr>
    </w:p>
  </w:endnote>
  <w:endnote w:id="21">
    <w:p w14:paraId="7BACBC31" w14:textId="77777777" w:rsidR="009F7E7A" w:rsidRPr="003F156E" w:rsidRDefault="009F7E7A" w:rsidP="009F7E7A">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w:t>
      </w:r>
      <w:proofErr w:type="spellStart"/>
      <w:r w:rsidRPr="003F156E">
        <w:rPr>
          <w:rFonts w:ascii="Roboto" w:hAnsi="Roboto"/>
          <w:sz w:val="22"/>
          <w:szCs w:val="22"/>
        </w:rPr>
        <w:t>Klotzbuecher</w:t>
      </w:r>
      <w:proofErr w:type="spellEnd"/>
      <w:r w:rsidRPr="003F156E">
        <w:rPr>
          <w:rFonts w:ascii="Roboto" w:hAnsi="Roboto"/>
          <w:sz w:val="22"/>
          <w:szCs w:val="22"/>
        </w:rPr>
        <w:t xml:space="preserve"> CM, Ross PD, Landsman PB, Abbott TA 3rd, Berger M. Patients with prior fractures have an increased risk of future fractures: a summary of the literature and statistical synthesis. J Bone Miner Res. 2000 Apr;15(4):721-39.</w:t>
      </w:r>
    </w:p>
    <w:p w14:paraId="2CBCA9B3" w14:textId="77777777" w:rsidR="009F7E7A" w:rsidRPr="003F156E" w:rsidRDefault="009F7E7A" w:rsidP="009F7E7A">
      <w:pPr>
        <w:pStyle w:val="EndnoteText"/>
        <w:rPr>
          <w:rFonts w:ascii="Roboto" w:hAnsi="Roboto"/>
          <w:sz w:val="22"/>
          <w:szCs w:val="22"/>
          <w:lang w:val="en-US"/>
        </w:rPr>
      </w:pPr>
    </w:p>
  </w:endnote>
  <w:endnote w:id="22">
    <w:p w14:paraId="427F12D3" w14:textId="30F4E3D3" w:rsidR="00B85C5B" w:rsidRPr="003F156E" w:rsidRDefault="00B85C5B">
      <w:pPr>
        <w:pStyle w:val="EndnoteText"/>
        <w:rPr>
          <w:rFonts w:ascii="Roboto" w:eastAsia="Roboto" w:hAnsi="Roboto" w:cs="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w:t>
      </w:r>
      <w:r w:rsidRPr="003F156E">
        <w:rPr>
          <w:rFonts w:ascii="Roboto" w:eastAsia="Roboto" w:hAnsi="Roboto" w:cs="Roboto"/>
          <w:sz w:val="22"/>
          <w:szCs w:val="22"/>
          <w:highlight w:val="white"/>
        </w:rPr>
        <w:t xml:space="preserve">van Staa TP, Dennison EM, </w:t>
      </w:r>
      <w:proofErr w:type="spellStart"/>
      <w:r w:rsidRPr="003F156E">
        <w:rPr>
          <w:rFonts w:ascii="Roboto" w:eastAsia="Roboto" w:hAnsi="Roboto" w:cs="Roboto"/>
          <w:sz w:val="22"/>
          <w:szCs w:val="22"/>
          <w:highlight w:val="white"/>
        </w:rPr>
        <w:t>Leufkens</w:t>
      </w:r>
      <w:proofErr w:type="spellEnd"/>
      <w:r w:rsidRPr="003F156E">
        <w:rPr>
          <w:rFonts w:ascii="Roboto" w:eastAsia="Roboto" w:hAnsi="Roboto" w:cs="Roboto"/>
          <w:sz w:val="22"/>
          <w:szCs w:val="22"/>
          <w:highlight w:val="white"/>
        </w:rPr>
        <w:t xml:space="preserve"> HG, and Cooper C (2001) </w:t>
      </w:r>
      <w:r w:rsidRPr="003F156E">
        <w:rPr>
          <w:rFonts w:ascii="Roboto" w:eastAsia="Roboto" w:hAnsi="Roboto" w:cs="Roboto"/>
          <w:i/>
          <w:iCs/>
          <w:sz w:val="22"/>
          <w:szCs w:val="22"/>
        </w:rPr>
        <w:t>‘Epidemiology of fractures in England and Wales’</w:t>
      </w:r>
      <w:r w:rsidRPr="003F156E">
        <w:rPr>
          <w:rFonts w:ascii="Roboto" w:eastAsia="Roboto" w:hAnsi="Roboto" w:cs="Roboto"/>
          <w:sz w:val="22"/>
          <w:szCs w:val="22"/>
        </w:rPr>
        <w:t>. Bone, 29(6), pp517-522</w:t>
      </w:r>
    </w:p>
    <w:p w14:paraId="13500163" w14:textId="77777777" w:rsidR="00A93FD2" w:rsidRPr="003F156E" w:rsidRDefault="00A93FD2">
      <w:pPr>
        <w:pStyle w:val="EndnoteText"/>
        <w:rPr>
          <w:rFonts w:ascii="Roboto" w:hAnsi="Roboto"/>
          <w:sz w:val="22"/>
          <w:szCs w:val="22"/>
          <w:lang w:val="en-US"/>
        </w:rPr>
      </w:pPr>
    </w:p>
  </w:endnote>
  <w:endnote w:id="23">
    <w:p w14:paraId="2A4D6E11" w14:textId="0968D6EF" w:rsidR="00B85C5B" w:rsidRPr="003F156E" w:rsidRDefault="00B85C5B" w:rsidP="00B85C5B">
      <w:pPr>
        <w:spacing w:after="120"/>
        <w:jc w:val="both"/>
        <w:rPr>
          <w:rFonts w:ascii="Roboto" w:hAnsi="Roboto"/>
        </w:rPr>
      </w:pPr>
      <w:r w:rsidRPr="003F156E">
        <w:rPr>
          <w:rStyle w:val="EndnoteReference"/>
          <w:rFonts w:ascii="Roboto" w:hAnsi="Roboto"/>
        </w:rPr>
        <w:endnoteRef/>
      </w:r>
      <w:r w:rsidRPr="003F156E">
        <w:rPr>
          <w:rFonts w:ascii="Roboto" w:hAnsi="Roboto"/>
        </w:rPr>
        <w:t xml:space="preserve"> National Osteoporosis Society. Stop at One Survey. (2013). </w:t>
      </w:r>
      <w:r w:rsidRPr="003F156E">
        <w:rPr>
          <w:rFonts w:ascii="Roboto" w:hAnsi="Roboto"/>
          <w:i/>
          <w:iCs/>
        </w:rPr>
        <w:t>National Osteoporosis Society</w:t>
      </w:r>
    </w:p>
  </w:endnote>
  <w:endnote w:id="24">
    <w:p w14:paraId="371AF4B4" w14:textId="77777777" w:rsidR="003865F0" w:rsidRPr="003F156E" w:rsidRDefault="003865F0" w:rsidP="003865F0">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Silverman SL, Minshall ME, Shen W, Harper KD, Xie S; Health-Related Quality of Life Subgroup of the Multiple Outcomes of Raloxifene Evaluation Study. The relationship of health-related quality of life to prevalent and incident vertebral fractures in postmenopausal women with osteoporosis: results from the Multiple Outcomes of Raloxifene Evaluation Study. Arthritis Rheum. 2001 4(11):2611-9. </w:t>
      </w:r>
    </w:p>
    <w:p w14:paraId="202A670C" w14:textId="77777777" w:rsidR="003865F0" w:rsidRPr="003F156E" w:rsidRDefault="003865F0" w:rsidP="003865F0">
      <w:pPr>
        <w:pStyle w:val="EndnoteText"/>
        <w:rPr>
          <w:rFonts w:ascii="Roboto" w:hAnsi="Roboto"/>
          <w:sz w:val="22"/>
          <w:szCs w:val="22"/>
          <w:lang w:val="en-US"/>
        </w:rPr>
      </w:pPr>
    </w:p>
  </w:endnote>
  <w:endnote w:id="25">
    <w:p w14:paraId="15C0000B" w14:textId="77777777" w:rsidR="003865F0" w:rsidRPr="003F156E" w:rsidRDefault="003865F0" w:rsidP="003865F0">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w:t>
      </w:r>
      <w:proofErr w:type="spellStart"/>
      <w:r w:rsidRPr="003F156E">
        <w:rPr>
          <w:rFonts w:ascii="Roboto" w:hAnsi="Roboto"/>
          <w:sz w:val="22"/>
          <w:szCs w:val="22"/>
        </w:rPr>
        <w:t>Scaf</w:t>
      </w:r>
      <w:proofErr w:type="spellEnd"/>
      <w:r w:rsidRPr="003F156E">
        <w:rPr>
          <w:rFonts w:ascii="Roboto" w:hAnsi="Roboto"/>
          <w:sz w:val="22"/>
          <w:szCs w:val="22"/>
        </w:rPr>
        <w:t xml:space="preserve">-Klomp W, van </w:t>
      </w:r>
      <w:proofErr w:type="spellStart"/>
      <w:r w:rsidRPr="003F156E">
        <w:rPr>
          <w:rFonts w:ascii="Roboto" w:hAnsi="Roboto"/>
          <w:sz w:val="22"/>
          <w:szCs w:val="22"/>
        </w:rPr>
        <w:t>Sonderen</w:t>
      </w:r>
      <w:proofErr w:type="spellEnd"/>
      <w:r w:rsidRPr="003F156E">
        <w:rPr>
          <w:rFonts w:ascii="Roboto" w:hAnsi="Roboto"/>
          <w:sz w:val="22"/>
          <w:szCs w:val="22"/>
        </w:rPr>
        <w:t xml:space="preserve"> E, Sanderman R, </w:t>
      </w:r>
      <w:proofErr w:type="spellStart"/>
      <w:r w:rsidRPr="003F156E">
        <w:rPr>
          <w:rFonts w:ascii="Roboto" w:hAnsi="Roboto"/>
          <w:sz w:val="22"/>
          <w:szCs w:val="22"/>
        </w:rPr>
        <w:t>Ormel</w:t>
      </w:r>
      <w:proofErr w:type="spellEnd"/>
      <w:r w:rsidRPr="003F156E">
        <w:rPr>
          <w:rFonts w:ascii="Roboto" w:hAnsi="Roboto"/>
          <w:sz w:val="22"/>
          <w:szCs w:val="22"/>
        </w:rPr>
        <w:t xml:space="preserve"> J, Kempen GI. Recovery of physical function after limb injuries in independent older people living at home. Age Ageing. 2001;30(3):213-219. </w:t>
      </w:r>
    </w:p>
    <w:p w14:paraId="01CE60D2" w14:textId="77777777" w:rsidR="003865F0" w:rsidRPr="003F156E" w:rsidRDefault="003865F0" w:rsidP="003865F0">
      <w:pPr>
        <w:pStyle w:val="EndnoteText"/>
        <w:rPr>
          <w:rFonts w:ascii="Roboto" w:hAnsi="Roboto"/>
          <w:sz w:val="22"/>
          <w:szCs w:val="22"/>
          <w:lang w:val="en-US"/>
        </w:rPr>
      </w:pPr>
    </w:p>
  </w:endnote>
  <w:endnote w:id="26">
    <w:p w14:paraId="6564FBF4" w14:textId="77777777" w:rsidR="003865F0" w:rsidRPr="003F156E" w:rsidRDefault="003865F0" w:rsidP="003865F0">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Osnes EK, Lofthus CM, Meyer HE, Falch JA, </w:t>
      </w:r>
      <w:proofErr w:type="spellStart"/>
      <w:r w:rsidRPr="003F156E">
        <w:rPr>
          <w:rFonts w:ascii="Roboto" w:hAnsi="Roboto"/>
          <w:sz w:val="22"/>
          <w:szCs w:val="22"/>
        </w:rPr>
        <w:t>Nordsletten</w:t>
      </w:r>
      <w:proofErr w:type="spellEnd"/>
      <w:r w:rsidRPr="003F156E">
        <w:rPr>
          <w:rFonts w:ascii="Roboto" w:hAnsi="Roboto"/>
          <w:sz w:val="22"/>
          <w:szCs w:val="22"/>
        </w:rPr>
        <w:t xml:space="preserve"> L, Cappelen et al.  Consequences of hip fracture on activities of daily life and residential needs. </w:t>
      </w:r>
      <w:proofErr w:type="spellStart"/>
      <w:r w:rsidRPr="003F156E">
        <w:rPr>
          <w:rFonts w:ascii="Roboto" w:hAnsi="Roboto"/>
          <w:sz w:val="22"/>
          <w:szCs w:val="22"/>
        </w:rPr>
        <w:t>Osteoporos</w:t>
      </w:r>
      <w:proofErr w:type="spellEnd"/>
      <w:r w:rsidRPr="003F156E">
        <w:rPr>
          <w:rFonts w:ascii="Roboto" w:hAnsi="Roboto"/>
          <w:sz w:val="22"/>
          <w:szCs w:val="22"/>
        </w:rPr>
        <w:t xml:space="preserve"> Int. 2004 Jul;15(7):567-74. </w:t>
      </w:r>
    </w:p>
    <w:p w14:paraId="6E22AB2A" w14:textId="77777777" w:rsidR="003865F0" w:rsidRPr="003F156E" w:rsidRDefault="003865F0" w:rsidP="003865F0">
      <w:pPr>
        <w:pStyle w:val="EndnoteText"/>
        <w:rPr>
          <w:rFonts w:ascii="Roboto" w:hAnsi="Roboto"/>
          <w:sz w:val="22"/>
          <w:szCs w:val="22"/>
          <w:lang w:val="en-US"/>
        </w:rPr>
      </w:pPr>
    </w:p>
  </w:endnote>
  <w:endnote w:id="27">
    <w:p w14:paraId="430D4DD6" w14:textId="77777777" w:rsidR="003865F0" w:rsidRPr="003F156E" w:rsidRDefault="003865F0" w:rsidP="003865F0">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Clowes JA, Peel NF, </w:t>
      </w:r>
      <w:proofErr w:type="spellStart"/>
      <w:r w:rsidRPr="003F156E">
        <w:rPr>
          <w:rFonts w:ascii="Roboto" w:hAnsi="Roboto"/>
          <w:sz w:val="22"/>
          <w:szCs w:val="22"/>
        </w:rPr>
        <w:t>Eastell</w:t>
      </w:r>
      <w:proofErr w:type="spellEnd"/>
      <w:r w:rsidRPr="003F156E">
        <w:rPr>
          <w:rFonts w:ascii="Roboto" w:hAnsi="Roboto"/>
          <w:sz w:val="22"/>
          <w:szCs w:val="22"/>
        </w:rPr>
        <w:t xml:space="preserve"> R. The impact of monitoring on adherence and persistence with antiresorptive treatment for postmenopausal osteoporosis: a randomized controlled trial. J Clin Endocrinol </w:t>
      </w:r>
      <w:proofErr w:type="spellStart"/>
      <w:r w:rsidRPr="003F156E">
        <w:rPr>
          <w:rFonts w:ascii="Roboto" w:hAnsi="Roboto"/>
          <w:sz w:val="22"/>
          <w:szCs w:val="22"/>
        </w:rPr>
        <w:t>Metab</w:t>
      </w:r>
      <w:proofErr w:type="spellEnd"/>
      <w:r w:rsidRPr="003F156E">
        <w:rPr>
          <w:rFonts w:ascii="Roboto" w:hAnsi="Roboto"/>
          <w:sz w:val="22"/>
          <w:szCs w:val="22"/>
        </w:rPr>
        <w:t xml:space="preserve">. 2004 Mar;89(3):1117-23. </w:t>
      </w:r>
    </w:p>
    <w:p w14:paraId="706FF404" w14:textId="77777777" w:rsidR="003865F0" w:rsidRPr="003F156E" w:rsidRDefault="003865F0" w:rsidP="003865F0">
      <w:pPr>
        <w:pStyle w:val="EndnoteText"/>
        <w:rPr>
          <w:rFonts w:ascii="Roboto" w:hAnsi="Roboto"/>
          <w:sz w:val="22"/>
          <w:szCs w:val="22"/>
          <w:lang w:val="en-US"/>
        </w:rPr>
      </w:pPr>
    </w:p>
  </w:endnote>
  <w:endnote w:id="28">
    <w:p w14:paraId="11F11F2A" w14:textId="77777777" w:rsidR="003865F0" w:rsidRPr="003F156E" w:rsidRDefault="003865F0" w:rsidP="003865F0">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Newton JN, Briggs AD, Murray CJ, Dicker D, Foreman KJ, Wang H et al. Changes in health in England, with analysis by English regions and areas of deprivation, 1990-2013: a systematic analysis for the Global Burden of Disease Study 2013. Lancet. 2015 Dec 5;386(10010):2257-74. </w:t>
      </w:r>
    </w:p>
    <w:p w14:paraId="6A453C56" w14:textId="77777777" w:rsidR="003865F0" w:rsidRPr="003F156E" w:rsidRDefault="003865F0" w:rsidP="003865F0">
      <w:pPr>
        <w:pStyle w:val="EndnoteText"/>
        <w:rPr>
          <w:rFonts w:ascii="Roboto" w:hAnsi="Roboto"/>
          <w:sz w:val="22"/>
          <w:szCs w:val="22"/>
          <w:lang w:val="en-US"/>
        </w:rPr>
      </w:pPr>
    </w:p>
  </w:endnote>
  <w:endnote w:id="29">
    <w:p w14:paraId="44E3DE4A" w14:textId="77777777" w:rsidR="00B85C5B" w:rsidRPr="003F156E" w:rsidRDefault="00B85C5B" w:rsidP="00B85C5B">
      <w:pPr>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Pr="003F156E">
        <w:rPr>
          <w:rFonts w:ascii="Roboto" w:eastAsia="Roboto" w:hAnsi="Roboto" w:cs="Roboto"/>
        </w:rPr>
        <w:t>International Osteoporosis Foundation (2018</w:t>
      </w:r>
      <w:r w:rsidRPr="003F156E">
        <w:rPr>
          <w:rFonts w:ascii="Roboto" w:eastAsia="Roboto" w:hAnsi="Roboto" w:cs="Roboto"/>
          <w:i/>
          <w:iCs/>
        </w:rPr>
        <w:t>) ‘Broken Bones, Broken Lives: A roadmap to solve the fragility fracture crisis in Europe’</w:t>
      </w:r>
      <w:r w:rsidRPr="003F156E">
        <w:rPr>
          <w:rFonts w:ascii="Roboto" w:eastAsia="Roboto" w:hAnsi="Roboto" w:cs="Roboto"/>
        </w:rPr>
        <w:t>.  Available at:</w:t>
      </w:r>
      <w:hyperlink r:id="rId11">
        <w:r w:rsidRPr="003F156E">
          <w:rPr>
            <w:rFonts w:ascii="Roboto" w:eastAsia="Roboto" w:hAnsi="Roboto" w:cs="Roboto"/>
          </w:rPr>
          <w:t xml:space="preserve"> </w:t>
        </w:r>
      </w:hyperlink>
      <w:hyperlink r:id="rId12">
        <w:r w:rsidRPr="003F156E">
          <w:rPr>
            <w:rFonts w:ascii="Roboto" w:eastAsia="Roboto" w:hAnsi="Roboto" w:cs="Roboto"/>
            <w:color w:val="1155CC"/>
            <w:u w:val="single"/>
          </w:rPr>
          <w:t>http://share.iofbonehealth.org/EU-6-Material/Reports/IOF%20Report_EU.pdf</w:t>
        </w:r>
      </w:hyperlink>
      <w:r w:rsidRPr="003F156E">
        <w:rPr>
          <w:rFonts w:ascii="Roboto" w:eastAsia="Roboto" w:hAnsi="Roboto" w:cs="Roboto"/>
        </w:rPr>
        <w:t xml:space="preserve"> (accessed July 2020)</w:t>
      </w:r>
    </w:p>
    <w:p w14:paraId="05BAE0A2" w14:textId="74D3972B" w:rsidR="00B85C5B" w:rsidRPr="003F156E" w:rsidRDefault="00B85C5B">
      <w:pPr>
        <w:pStyle w:val="EndnoteText"/>
        <w:rPr>
          <w:rFonts w:ascii="Roboto" w:hAnsi="Roboto"/>
          <w:sz w:val="22"/>
          <w:szCs w:val="22"/>
        </w:rPr>
      </w:pPr>
    </w:p>
  </w:endnote>
  <w:endnote w:id="30">
    <w:p w14:paraId="7F3BFC7C" w14:textId="77777777" w:rsidR="00391D2C" w:rsidRPr="003F156E" w:rsidRDefault="00391D2C" w:rsidP="00391D2C">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Gallagher JC, </w:t>
      </w:r>
      <w:proofErr w:type="spellStart"/>
      <w:r w:rsidRPr="003F156E">
        <w:rPr>
          <w:rFonts w:ascii="Roboto" w:hAnsi="Roboto"/>
          <w:sz w:val="22"/>
          <w:szCs w:val="22"/>
        </w:rPr>
        <w:t>Genant</w:t>
      </w:r>
      <w:proofErr w:type="spellEnd"/>
      <w:r w:rsidRPr="003F156E">
        <w:rPr>
          <w:rFonts w:ascii="Roboto" w:hAnsi="Roboto"/>
          <w:sz w:val="22"/>
          <w:szCs w:val="22"/>
        </w:rPr>
        <w:t xml:space="preserve"> HK, Crans GG, Vargas SJ, Krege </w:t>
      </w:r>
      <w:proofErr w:type="spellStart"/>
      <w:r w:rsidRPr="003F156E">
        <w:rPr>
          <w:rFonts w:ascii="Roboto" w:hAnsi="Roboto"/>
          <w:sz w:val="22"/>
          <w:szCs w:val="22"/>
        </w:rPr>
        <w:t>JH.Teriparatide</w:t>
      </w:r>
      <w:proofErr w:type="spellEnd"/>
      <w:r w:rsidRPr="003F156E">
        <w:rPr>
          <w:rFonts w:ascii="Roboto" w:hAnsi="Roboto"/>
          <w:sz w:val="22"/>
          <w:szCs w:val="22"/>
        </w:rPr>
        <w:t xml:space="preserve"> Reduces the Fracture Risk Associated with Increasing Number and Severity of Osteoporotic Fractures. J Clin Endocrinol </w:t>
      </w:r>
      <w:proofErr w:type="spellStart"/>
      <w:r w:rsidRPr="003F156E">
        <w:rPr>
          <w:rFonts w:ascii="Roboto" w:hAnsi="Roboto"/>
          <w:sz w:val="22"/>
          <w:szCs w:val="22"/>
        </w:rPr>
        <w:t>Metab</w:t>
      </w:r>
      <w:proofErr w:type="spellEnd"/>
      <w:r w:rsidRPr="003F156E">
        <w:rPr>
          <w:rFonts w:ascii="Roboto" w:hAnsi="Roboto"/>
          <w:sz w:val="22"/>
          <w:szCs w:val="22"/>
        </w:rPr>
        <w:t xml:space="preserve">. 2005 90(3),1583–7. </w:t>
      </w:r>
    </w:p>
    <w:p w14:paraId="3B522632" w14:textId="77777777" w:rsidR="00391D2C" w:rsidRPr="003F156E" w:rsidRDefault="00391D2C" w:rsidP="00391D2C">
      <w:pPr>
        <w:pStyle w:val="EndnoteText"/>
        <w:rPr>
          <w:rFonts w:ascii="Roboto" w:hAnsi="Roboto"/>
          <w:sz w:val="22"/>
          <w:szCs w:val="22"/>
          <w:lang w:val="en-US"/>
        </w:rPr>
      </w:pPr>
    </w:p>
  </w:endnote>
  <w:endnote w:id="31">
    <w:p w14:paraId="59901D76" w14:textId="77777777" w:rsidR="00391D2C" w:rsidRPr="003F156E" w:rsidRDefault="00391D2C" w:rsidP="00391D2C">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Neer RM, Arnaud CD, Zanchetta JR, Prince R, Gaich GA, </w:t>
      </w:r>
      <w:proofErr w:type="spellStart"/>
      <w:r w:rsidRPr="003F156E">
        <w:rPr>
          <w:rFonts w:ascii="Roboto" w:hAnsi="Roboto"/>
          <w:sz w:val="22"/>
          <w:szCs w:val="22"/>
        </w:rPr>
        <w:t>Reginster</w:t>
      </w:r>
      <w:proofErr w:type="spellEnd"/>
      <w:r w:rsidRPr="003F156E">
        <w:rPr>
          <w:rFonts w:ascii="Roboto" w:hAnsi="Roboto"/>
          <w:sz w:val="22"/>
          <w:szCs w:val="22"/>
        </w:rPr>
        <w:t xml:space="preserve"> JY et al. Effect of parathyroid hormone (1-34) on fractures and bone mineral density in postmenopausal women with osteoporosis. N Engl J Med. 2001 10;344(19):1434-41. </w:t>
      </w:r>
    </w:p>
    <w:p w14:paraId="08C714C8" w14:textId="77777777" w:rsidR="00391D2C" w:rsidRPr="003F156E" w:rsidRDefault="00391D2C" w:rsidP="00391D2C">
      <w:pPr>
        <w:pStyle w:val="EndnoteText"/>
        <w:rPr>
          <w:rFonts w:ascii="Roboto" w:hAnsi="Roboto"/>
          <w:sz w:val="22"/>
          <w:szCs w:val="22"/>
          <w:lang w:val="en-US"/>
        </w:rPr>
      </w:pPr>
    </w:p>
  </w:endnote>
  <w:endnote w:id="32">
    <w:p w14:paraId="5874F91F" w14:textId="77777777" w:rsidR="00391D2C" w:rsidRPr="003F156E" w:rsidRDefault="00391D2C" w:rsidP="00391D2C">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Silverman SL, Watts NB, Delmas PD, Lange JL, Lindsay R. Effectiveness of bisphosphonates on nonvertebral and hip fractures in the first year of therapy: the risedronate and alendronate (REAL) cohort study. </w:t>
      </w:r>
      <w:proofErr w:type="spellStart"/>
      <w:r w:rsidRPr="003F156E">
        <w:rPr>
          <w:rFonts w:ascii="Roboto" w:hAnsi="Roboto"/>
          <w:sz w:val="22"/>
          <w:szCs w:val="22"/>
        </w:rPr>
        <w:t>Osteoporos</w:t>
      </w:r>
      <w:proofErr w:type="spellEnd"/>
      <w:r w:rsidRPr="003F156E">
        <w:rPr>
          <w:rFonts w:ascii="Roboto" w:hAnsi="Roboto"/>
          <w:sz w:val="22"/>
          <w:szCs w:val="22"/>
        </w:rPr>
        <w:t xml:space="preserve"> Int. 2007 Jan;18(1):25-34. </w:t>
      </w:r>
    </w:p>
    <w:p w14:paraId="1A860A82" w14:textId="77777777" w:rsidR="00391D2C" w:rsidRPr="003F156E" w:rsidRDefault="00391D2C" w:rsidP="00391D2C">
      <w:pPr>
        <w:pStyle w:val="EndnoteText"/>
        <w:rPr>
          <w:rFonts w:ascii="Roboto" w:hAnsi="Roboto"/>
          <w:sz w:val="22"/>
          <w:szCs w:val="22"/>
          <w:lang w:val="en-US"/>
        </w:rPr>
      </w:pPr>
    </w:p>
  </w:endnote>
  <w:endnote w:id="33">
    <w:p w14:paraId="234DD473" w14:textId="77777777" w:rsidR="00391D2C" w:rsidRPr="003F156E" w:rsidRDefault="00391D2C" w:rsidP="00391D2C">
      <w:pPr>
        <w:pStyle w:val="EndnoteText"/>
        <w:rPr>
          <w:rFonts w:ascii="Roboto" w:hAnsi="Roboto"/>
          <w:sz w:val="22"/>
          <w:szCs w:val="22"/>
        </w:rPr>
      </w:pPr>
      <w:r w:rsidRPr="003F156E">
        <w:rPr>
          <w:rStyle w:val="EndnoteReference"/>
          <w:rFonts w:ascii="Roboto" w:hAnsi="Roboto"/>
          <w:sz w:val="22"/>
          <w:szCs w:val="22"/>
        </w:rPr>
        <w:endnoteRef/>
      </w:r>
      <w:r w:rsidRPr="003F156E">
        <w:rPr>
          <w:rFonts w:ascii="Roboto" w:hAnsi="Roboto"/>
          <w:sz w:val="22"/>
          <w:szCs w:val="22"/>
        </w:rPr>
        <w:t xml:space="preserve"> Calculation based on: European Prospective Osteoporosis Study (EPOS) Group; Felsenberg D, Silman AJ, Lunt M, Armbrecht G, Ismail AA, Finn JD, Cockerill WC, Banzer D, </w:t>
      </w:r>
      <w:proofErr w:type="spellStart"/>
      <w:r w:rsidRPr="003F156E">
        <w:rPr>
          <w:rFonts w:ascii="Roboto" w:hAnsi="Roboto"/>
          <w:sz w:val="22"/>
          <w:szCs w:val="22"/>
        </w:rPr>
        <w:t>Benevolenskaya</w:t>
      </w:r>
      <w:proofErr w:type="spellEnd"/>
      <w:r w:rsidRPr="003F156E">
        <w:rPr>
          <w:rFonts w:ascii="Roboto" w:hAnsi="Roboto"/>
          <w:sz w:val="22"/>
          <w:szCs w:val="22"/>
        </w:rPr>
        <w:t xml:space="preserve"> LI, Bhalla A, Bruges Armas J, Cannata JB, Cooper C, </w:t>
      </w:r>
      <w:proofErr w:type="spellStart"/>
      <w:r w:rsidRPr="003F156E">
        <w:rPr>
          <w:rFonts w:ascii="Roboto" w:hAnsi="Roboto"/>
          <w:sz w:val="22"/>
          <w:szCs w:val="22"/>
        </w:rPr>
        <w:t>Dequeker</w:t>
      </w:r>
      <w:proofErr w:type="spellEnd"/>
      <w:r w:rsidRPr="003F156E">
        <w:rPr>
          <w:rFonts w:ascii="Roboto" w:hAnsi="Roboto"/>
          <w:sz w:val="22"/>
          <w:szCs w:val="22"/>
        </w:rPr>
        <w:t xml:space="preserve"> J, </w:t>
      </w:r>
      <w:proofErr w:type="spellStart"/>
      <w:r w:rsidRPr="003F156E">
        <w:rPr>
          <w:rFonts w:ascii="Roboto" w:hAnsi="Roboto"/>
          <w:sz w:val="22"/>
          <w:szCs w:val="22"/>
        </w:rPr>
        <w:t>Eastell</w:t>
      </w:r>
      <w:proofErr w:type="spellEnd"/>
      <w:r w:rsidRPr="003F156E">
        <w:rPr>
          <w:rFonts w:ascii="Roboto" w:hAnsi="Roboto"/>
          <w:sz w:val="22"/>
          <w:szCs w:val="22"/>
        </w:rPr>
        <w:t xml:space="preserve"> R, Felsch B, Gowin W, Havelka S, </w:t>
      </w:r>
      <w:proofErr w:type="spellStart"/>
      <w:r w:rsidRPr="003F156E">
        <w:rPr>
          <w:rFonts w:ascii="Roboto" w:hAnsi="Roboto"/>
          <w:sz w:val="22"/>
          <w:szCs w:val="22"/>
        </w:rPr>
        <w:t>Hoszowski</w:t>
      </w:r>
      <w:proofErr w:type="spellEnd"/>
      <w:r w:rsidRPr="003F156E">
        <w:rPr>
          <w:rFonts w:ascii="Roboto" w:hAnsi="Roboto"/>
          <w:sz w:val="22"/>
          <w:szCs w:val="22"/>
        </w:rPr>
        <w:t xml:space="preserve"> K, </w:t>
      </w:r>
      <w:proofErr w:type="spellStart"/>
      <w:r w:rsidRPr="003F156E">
        <w:rPr>
          <w:rFonts w:ascii="Roboto" w:hAnsi="Roboto"/>
          <w:sz w:val="22"/>
          <w:szCs w:val="22"/>
        </w:rPr>
        <w:t>Jajic</w:t>
      </w:r>
      <w:proofErr w:type="spellEnd"/>
      <w:r w:rsidRPr="003F156E">
        <w:rPr>
          <w:rFonts w:ascii="Roboto" w:hAnsi="Roboto"/>
          <w:sz w:val="22"/>
          <w:szCs w:val="22"/>
        </w:rPr>
        <w:t xml:space="preserve"> I, </w:t>
      </w:r>
      <w:proofErr w:type="spellStart"/>
      <w:r w:rsidRPr="003F156E">
        <w:rPr>
          <w:rFonts w:ascii="Roboto" w:hAnsi="Roboto"/>
          <w:sz w:val="22"/>
          <w:szCs w:val="22"/>
        </w:rPr>
        <w:t>Janott</w:t>
      </w:r>
      <w:proofErr w:type="spellEnd"/>
      <w:r w:rsidRPr="003F156E">
        <w:rPr>
          <w:rFonts w:ascii="Roboto" w:hAnsi="Roboto"/>
          <w:sz w:val="22"/>
          <w:szCs w:val="22"/>
        </w:rPr>
        <w:t xml:space="preserve"> J, Johnell O, Kanis JA, Kragl G, Lopes Vaz A, Lorenc R, </w:t>
      </w:r>
      <w:proofErr w:type="spellStart"/>
      <w:r w:rsidRPr="003F156E">
        <w:rPr>
          <w:rFonts w:ascii="Roboto" w:hAnsi="Roboto"/>
          <w:sz w:val="22"/>
          <w:szCs w:val="22"/>
        </w:rPr>
        <w:t>Lyritis</w:t>
      </w:r>
      <w:proofErr w:type="spellEnd"/>
      <w:r w:rsidRPr="003F156E">
        <w:rPr>
          <w:rFonts w:ascii="Roboto" w:hAnsi="Roboto"/>
          <w:sz w:val="22"/>
          <w:szCs w:val="22"/>
        </w:rPr>
        <w:t xml:space="preserve"> G, Masaryk P, Matthis C, </w:t>
      </w:r>
      <w:proofErr w:type="spellStart"/>
      <w:r w:rsidRPr="003F156E">
        <w:rPr>
          <w:rFonts w:ascii="Roboto" w:hAnsi="Roboto"/>
          <w:sz w:val="22"/>
          <w:szCs w:val="22"/>
        </w:rPr>
        <w:t>Miazgowski</w:t>
      </w:r>
      <w:proofErr w:type="spellEnd"/>
      <w:r w:rsidRPr="003F156E">
        <w:rPr>
          <w:rFonts w:ascii="Roboto" w:hAnsi="Roboto"/>
          <w:sz w:val="22"/>
          <w:szCs w:val="22"/>
        </w:rPr>
        <w:t xml:space="preserve"> T, Parisi G, Pols HA, Poor G, Raspe HH, Reid DM, Reisinger W, </w:t>
      </w:r>
      <w:proofErr w:type="spellStart"/>
      <w:r w:rsidRPr="003F156E">
        <w:rPr>
          <w:rFonts w:ascii="Roboto" w:hAnsi="Roboto"/>
          <w:sz w:val="22"/>
          <w:szCs w:val="22"/>
        </w:rPr>
        <w:t>Schedit</w:t>
      </w:r>
      <w:proofErr w:type="spellEnd"/>
      <w:r w:rsidRPr="003F156E">
        <w:rPr>
          <w:rFonts w:ascii="Roboto" w:hAnsi="Roboto"/>
          <w:sz w:val="22"/>
          <w:szCs w:val="22"/>
        </w:rPr>
        <w:t xml:space="preserve">-Nave C, Stepan JJ, Todd CJ, Weber K, Woolf AD, </w:t>
      </w:r>
      <w:proofErr w:type="spellStart"/>
      <w:r w:rsidRPr="003F156E">
        <w:rPr>
          <w:rFonts w:ascii="Roboto" w:hAnsi="Roboto"/>
          <w:sz w:val="22"/>
          <w:szCs w:val="22"/>
        </w:rPr>
        <w:t>Yershova</w:t>
      </w:r>
      <w:proofErr w:type="spellEnd"/>
      <w:r w:rsidRPr="003F156E">
        <w:rPr>
          <w:rFonts w:ascii="Roboto" w:hAnsi="Roboto"/>
          <w:sz w:val="22"/>
          <w:szCs w:val="22"/>
        </w:rPr>
        <w:t xml:space="preserve"> OB, Reeve J, O'Neill TW. Incidence of vertebral fracture in </w:t>
      </w:r>
      <w:proofErr w:type="spellStart"/>
      <w:r w:rsidRPr="003F156E">
        <w:rPr>
          <w:rFonts w:ascii="Roboto" w:hAnsi="Roboto"/>
          <w:sz w:val="22"/>
          <w:szCs w:val="22"/>
        </w:rPr>
        <w:t>europe</w:t>
      </w:r>
      <w:proofErr w:type="spellEnd"/>
      <w:r w:rsidRPr="003F156E">
        <w:rPr>
          <w:rFonts w:ascii="Roboto" w:hAnsi="Roboto"/>
          <w:sz w:val="22"/>
          <w:szCs w:val="22"/>
        </w:rPr>
        <w:t xml:space="preserve">: results from the European Prospective Osteoporosis Study (EPOS). J Bone Miner Res. 2002 Apr;17(4):716-24. </w:t>
      </w:r>
      <w:proofErr w:type="spellStart"/>
      <w:r w:rsidRPr="003F156E">
        <w:rPr>
          <w:rFonts w:ascii="Roboto" w:hAnsi="Roboto"/>
          <w:sz w:val="22"/>
          <w:szCs w:val="22"/>
        </w:rPr>
        <w:t>doi</w:t>
      </w:r>
      <w:proofErr w:type="spellEnd"/>
      <w:r w:rsidRPr="003F156E">
        <w:rPr>
          <w:rFonts w:ascii="Roboto" w:hAnsi="Roboto"/>
          <w:sz w:val="22"/>
          <w:szCs w:val="22"/>
        </w:rPr>
        <w:t xml:space="preserve">: 10.1359/jbmr.2002.17  triangulated with 2021 ONS population </w:t>
      </w:r>
      <w:proofErr w:type="spellStart"/>
      <w:r w:rsidRPr="003F156E">
        <w:rPr>
          <w:rFonts w:ascii="Roboto" w:hAnsi="Roboto"/>
          <w:sz w:val="22"/>
          <w:szCs w:val="22"/>
        </w:rPr>
        <w:t>esimates</w:t>
      </w:r>
      <w:proofErr w:type="spellEnd"/>
      <w:r w:rsidRPr="003F156E">
        <w:rPr>
          <w:rFonts w:ascii="Roboto" w:hAnsi="Roboto"/>
          <w:sz w:val="22"/>
          <w:szCs w:val="22"/>
        </w:rPr>
        <w:t xml:space="preserve">  and 2020 Economic labour market status of individuals aged 50 and over, trends over time.</w:t>
      </w:r>
    </w:p>
    <w:p w14:paraId="06275606" w14:textId="77777777" w:rsidR="00A93FD2" w:rsidRPr="003F156E" w:rsidRDefault="00A93FD2" w:rsidP="00391D2C">
      <w:pPr>
        <w:pStyle w:val="EndnoteText"/>
        <w:rPr>
          <w:rFonts w:ascii="Roboto" w:hAnsi="Roboto"/>
          <w:sz w:val="22"/>
          <w:szCs w:val="22"/>
          <w:lang w:val="en-US"/>
        </w:rPr>
      </w:pPr>
    </w:p>
  </w:endnote>
  <w:endnote w:id="34">
    <w:p w14:paraId="7750026E" w14:textId="77777777" w:rsidR="00B85C5B" w:rsidRPr="003F156E" w:rsidRDefault="00B85C5B" w:rsidP="00B85C5B">
      <w:pPr>
        <w:spacing w:after="120"/>
        <w:rPr>
          <w:rFonts w:ascii="Roboto" w:hAnsi="Roboto"/>
        </w:rPr>
      </w:pPr>
      <w:r w:rsidRPr="003F156E">
        <w:rPr>
          <w:rStyle w:val="EndnoteReference"/>
          <w:rFonts w:ascii="Roboto" w:hAnsi="Roboto"/>
        </w:rPr>
        <w:endnoteRef/>
      </w:r>
      <w:r w:rsidRPr="003F156E">
        <w:rPr>
          <w:rFonts w:ascii="Roboto" w:hAnsi="Roboto"/>
        </w:rPr>
        <w:t xml:space="preserve"> Murphy et al.  Hip fracture projections up to the year 2060: an analysis based on data from the National Hip Fracture Database (NHFD) for England, Wales, and Northern Ireland.  Injury . 2024 Nov;55(11):111863.  </w:t>
      </w:r>
      <w:proofErr w:type="spellStart"/>
      <w:r w:rsidRPr="003F156E">
        <w:rPr>
          <w:rFonts w:ascii="Roboto" w:hAnsi="Roboto"/>
        </w:rPr>
        <w:t>doi</w:t>
      </w:r>
      <w:proofErr w:type="spellEnd"/>
      <w:r w:rsidRPr="003F156E">
        <w:rPr>
          <w:rFonts w:ascii="Roboto" w:hAnsi="Roboto"/>
        </w:rPr>
        <w:t>: 10.1016/j.injury.2024.111863.</w:t>
      </w:r>
    </w:p>
    <w:p w14:paraId="1D64063D" w14:textId="537A3543" w:rsidR="00B85C5B" w:rsidRPr="003F156E" w:rsidRDefault="00B85C5B">
      <w:pPr>
        <w:pStyle w:val="EndnoteText"/>
        <w:rPr>
          <w:rFonts w:ascii="Roboto" w:hAnsi="Roboto"/>
          <w:sz w:val="22"/>
          <w:szCs w:val="22"/>
          <w:lang w:val="en-US"/>
        </w:rPr>
      </w:pPr>
    </w:p>
  </w:endnote>
  <w:endnote w:id="35">
    <w:p w14:paraId="1E509B3F" w14:textId="04D00153" w:rsidR="00B85C5B" w:rsidRPr="003F156E" w:rsidRDefault="00B85C5B" w:rsidP="00A93FD2">
      <w:pPr>
        <w:spacing w:after="120"/>
        <w:jc w:val="both"/>
        <w:rPr>
          <w:rFonts w:ascii="Roboto" w:hAnsi="Roboto"/>
        </w:rPr>
      </w:pPr>
      <w:r w:rsidRPr="003F156E">
        <w:rPr>
          <w:rStyle w:val="EndnoteReference"/>
          <w:rFonts w:ascii="Roboto" w:hAnsi="Roboto"/>
        </w:rPr>
        <w:endnoteRef/>
      </w:r>
      <w:r w:rsidRPr="003F156E">
        <w:rPr>
          <w:rFonts w:ascii="Roboto" w:hAnsi="Roboto"/>
        </w:rPr>
        <w:t xml:space="preserve"> National Osteoporosis Society. Effective secondary prevention of fragility fractures: clinical standards for fracture liaison services. Bath: NOS, 2015</w:t>
      </w:r>
    </w:p>
    <w:p w14:paraId="45E26E06" w14:textId="77777777" w:rsidR="00A93FD2" w:rsidRPr="003F156E" w:rsidRDefault="00A93FD2" w:rsidP="00A93FD2">
      <w:pPr>
        <w:spacing w:after="120"/>
        <w:jc w:val="both"/>
        <w:rPr>
          <w:rFonts w:ascii="Roboto" w:hAnsi="Roboto"/>
        </w:rPr>
      </w:pPr>
    </w:p>
  </w:endnote>
  <w:endnote w:id="36">
    <w:p w14:paraId="16EF6C69" w14:textId="77777777" w:rsidR="00B85C5B" w:rsidRPr="003F156E" w:rsidRDefault="00B85C5B" w:rsidP="00B85C5B">
      <w:pPr>
        <w:spacing w:before="140" w:after="140"/>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Pr="003F156E">
        <w:rPr>
          <w:rFonts w:ascii="Roboto" w:eastAsia="Roboto" w:hAnsi="Roboto" w:cs="Roboto"/>
        </w:rPr>
        <w:t xml:space="preserve">National Osteoporosis Society (2015) </w:t>
      </w:r>
      <w:r w:rsidRPr="003F156E">
        <w:rPr>
          <w:rFonts w:ascii="Roboto" w:eastAsia="Roboto" w:hAnsi="Roboto" w:cs="Roboto"/>
          <w:i/>
          <w:iCs/>
        </w:rPr>
        <w:t>‘Effective secondary prevention of fragility fractures: clinical standards for fracture liaison services’.</w:t>
      </w:r>
      <w:r w:rsidRPr="003F156E">
        <w:rPr>
          <w:rFonts w:ascii="Roboto" w:eastAsia="Roboto" w:hAnsi="Roboto" w:cs="Roboto"/>
        </w:rPr>
        <w:t xml:space="preserve">  Available at:</w:t>
      </w:r>
      <w:hyperlink r:id="rId13">
        <w:r w:rsidRPr="003F156E">
          <w:rPr>
            <w:rFonts w:ascii="Roboto" w:eastAsia="Roboto" w:hAnsi="Roboto" w:cs="Roboto"/>
          </w:rPr>
          <w:t xml:space="preserve"> </w:t>
        </w:r>
      </w:hyperlink>
      <w:hyperlink r:id="rId14">
        <w:r w:rsidRPr="003F156E">
          <w:rPr>
            <w:rFonts w:ascii="Roboto" w:eastAsia="Roboto" w:hAnsi="Roboto" w:cs="Roboto"/>
            <w:color w:val="1155CC"/>
            <w:u w:val="single"/>
          </w:rPr>
          <w:t>http://theros.org.uk/media/1776/clinical-standards-report.pdf</w:t>
        </w:r>
      </w:hyperlink>
      <w:r w:rsidRPr="003F156E">
        <w:rPr>
          <w:rFonts w:ascii="Roboto" w:eastAsia="Roboto" w:hAnsi="Roboto" w:cs="Roboto"/>
        </w:rPr>
        <w:t xml:space="preserve"> (accessed November 2019)</w:t>
      </w:r>
    </w:p>
    <w:p w14:paraId="3271BB79" w14:textId="7A1EAC4B" w:rsidR="00B85C5B" w:rsidRPr="003F156E" w:rsidRDefault="00B85C5B">
      <w:pPr>
        <w:pStyle w:val="EndnoteText"/>
        <w:rPr>
          <w:rFonts w:ascii="Roboto" w:hAnsi="Roboto"/>
          <w:sz w:val="22"/>
          <w:szCs w:val="22"/>
        </w:rPr>
      </w:pPr>
    </w:p>
  </w:endnote>
  <w:endnote w:id="37">
    <w:p w14:paraId="49B607E7" w14:textId="77777777" w:rsidR="00B85C5B" w:rsidRPr="003F156E" w:rsidRDefault="00B85C5B" w:rsidP="00B85C5B">
      <w:pPr>
        <w:spacing w:after="160"/>
        <w:jc w:val="both"/>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Pr="003F156E">
        <w:rPr>
          <w:rFonts w:ascii="Roboto" w:eastAsia="Roboto" w:hAnsi="Roboto" w:cs="Roboto"/>
        </w:rPr>
        <w:t>National Institutes of Health Consensus Development Conference statement (1991). The American Journal of Medicine</w:t>
      </w:r>
      <w:r w:rsidRPr="003F156E">
        <w:rPr>
          <w:rFonts w:ascii="Roboto" w:eastAsia="Roboto" w:hAnsi="Roboto" w:cs="Roboto"/>
          <w:i/>
          <w:iCs/>
        </w:rPr>
        <w:t xml:space="preserve"> </w:t>
      </w:r>
      <w:r w:rsidRPr="003F156E">
        <w:rPr>
          <w:rFonts w:ascii="Roboto" w:eastAsia="Roboto" w:hAnsi="Roboto" w:cs="Roboto"/>
        </w:rPr>
        <w:t>90(1), pp107–110.</w:t>
      </w:r>
    </w:p>
    <w:p w14:paraId="1B1F7AD8" w14:textId="6759F9B0" w:rsidR="00B85C5B" w:rsidRPr="003F156E" w:rsidRDefault="00B85C5B">
      <w:pPr>
        <w:pStyle w:val="EndnoteText"/>
        <w:rPr>
          <w:rFonts w:ascii="Roboto" w:hAnsi="Roboto"/>
          <w:sz w:val="22"/>
          <w:szCs w:val="22"/>
          <w:lang w:val="en-US"/>
        </w:rPr>
      </w:pPr>
    </w:p>
  </w:endnote>
  <w:endnote w:id="38">
    <w:p w14:paraId="2F0AFA8D" w14:textId="77777777" w:rsidR="00480A80" w:rsidRPr="003F156E" w:rsidRDefault="00B85C5B" w:rsidP="00480A80">
      <w:pPr>
        <w:rPr>
          <w:rFonts w:ascii="Roboto" w:eastAsia="Roboto" w:hAnsi="Roboto" w:cs="Roboto"/>
        </w:rPr>
      </w:pPr>
      <w:r w:rsidRPr="003F156E">
        <w:rPr>
          <w:rStyle w:val="EndnoteReference"/>
          <w:rFonts w:ascii="Roboto" w:hAnsi="Roboto"/>
        </w:rPr>
        <w:endnoteRef/>
      </w:r>
      <w:r w:rsidRPr="003F156E">
        <w:rPr>
          <w:rFonts w:ascii="Roboto" w:hAnsi="Roboto"/>
        </w:rPr>
        <w:t xml:space="preserve"> </w:t>
      </w:r>
      <w:r w:rsidR="00480A80" w:rsidRPr="003F156E">
        <w:rPr>
          <w:rFonts w:ascii="Roboto" w:eastAsia="Roboto" w:hAnsi="Roboto" w:cs="Roboto"/>
        </w:rPr>
        <w:t>Falls and Fractures: Effective interventions in Health and Social Care, Department of Health, 2009</w:t>
      </w:r>
    </w:p>
    <w:p w14:paraId="21B486E2" w14:textId="0EEB723E" w:rsidR="00B85C5B" w:rsidRPr="003F156E" w:rsidRDefault="00B85C5B">
      <w:pPr>
        <w:pStyle w:val="EndnoteText"/>
        <w:rPr>
          <w:rFonts w:ascii="Roboto" w:hAnsi="Roboto"/>
          <w:sz w:val="22"/>
          <w:szCs w:val="22"/>
        </w:rPr>
      </w:pPr>
    </w:p>
  </w:endnote>
  <w:endnote w:id="39">
    <w:p w14:paraId="0DE64B61" w14:textId="77777777" w:rsidR="008E6655" w:rsidRPr="003F156E" w:rsidRDefault="00B85C5B" w:rsidP="008E6655">
      <w:pPr>
        <w:spacing w:after="120"/>
        <w:rPr>
          <w:rFonts w:ascii="Roboto" w:hAnsi="Roboto"/>
        </w:rPr>
      </w:pPr>
      <w:r w:rsidRPr="003F156E">
        <w:rPr>
          <w:rStyle w:val="EndnoteReference"/>
          <w:rFonts w:ascii="Roboto" w:hAnsi="Roboto"/>
        </w:rPr>
        <w:endnoteRef/>
      </w:r>
      <w:r w:rsidRPr="003F156E">
        <w:rPr>
          <w:rFonts w:ascii="Roboto" w:hAnsi="Roboto"/>
        </w:rPr>
        <w:t xml:space="preserve"> </w:t>
      </w:r>
      <w:proofErr w:type="spellStart"/>
      <w:r w:rsidR="008E6655" w:rsidRPr="003F156E">
        <w:rPr>
          <w:rFonts w:ascii="Roboto" w:hAnsi="Roboto"/>
        </w:rPr>
        <w:t>Makaram</w:t>
      </w:r>
      <w:proofErr w:type="spellEnd"/>
      <w:r w:rsidR="008E6655" w:rsidRPr="003F156E">
        <w:rPr>
          <w:rFonts w:ascii="Roboto" w:hAnsi="Roboto"/>
        </w:rPr>
        <w:t xml:space="preserve"> et al, Lessons learned from hip fracture registries – From the Scottish perspective to global practice.  Injury,</w:t>
      </w:r>
      <w:hyperlink r:id="rId15">
        <w:r w:rsidR="008E6655" w:rsidRPr="003F156E">
          <w:rPr>
            <w:rFonts w:ascii="Roboto" w:hAnsi="Roboto"/>
          </w:rPr>
          <w:t xml:space="preserve"> </w:t>
        </w:r>
      </w:hyperlink>
      <w:hyperlink r:id="rId16">
        <w:r w:rsidR="008E6655" w:rsidRPr="003F156E">
          <w:rPr>
            <w:rFonts w:ascii="Roboto" w:hAnsi="Roboto"/>
            <w:color w:val="1155CC"/>
            <w:u w:val="single"/>
          </w:rPr>
          <w:t>Volume 54, Supplement 5</w:t>
        </w:r>
      </w:hyperlink>
      <w:r w:rsidR="008E6655" w:rsidRPr="003F156E">
        <w:rPr>
          <w:rFonts w:ascii="Roboto" w:hAnsi="Roboto"/>
        </w:rPr>
        <w:t>, October 2023,</w:t>
      </w:r>
    </w:p>
    <w:p w14:paraId="04AEDCFB" w14:textId="56E6787E" w:rsidR="00B85C5B" w:rsidRPr="003F156E" w:rsidRDefault="00B85C5B">
      <w:pPr>
        <w:pStyle w:val="EndnoteText"/>
        <w:rPr>
          <w:rFonts w:ascii="Roboto" w:hAnsi="Roboto"/>
          <w:sz w:val="22"/>
          <w:szCs w:val="22"/>
          <w:lang w:val="en-US"/>
        </w:rPr>
      </w:pPr>
    </w:p>
  </w:endnote>
  <w:endnote w:id="40">
    <w:p w14:paraId="478046BC" w14:textId="4CBCE0ED" w:rsidR="00B85C5B" w:rsidRPr="003F156E" w:rsidRDefault="00B85C5B">
      <w:pPr>
        <w:pStyle w:val="EndnoteText"/>
        <w:rPr>
          <w:rFonts w:ascii="Roboto" w:hAnsi="Roboto"/>
          <w:i/>
          <w:iCs/>
          <w:sz w:val="22"/>
          <w:szCs w:val="22"/>
        </w:rPr>
      </w:pPr>
      <w:r w:rsidRPr="003F156E">
        <w:rPr>
          <w:rStyle w:val="EndnoteReference"/>
          <w:rFonts w:ascii="Roboto" w:hAnsi="Roboto"/>
          <w:sz w:val="22"/>
          <w:szCs w:val="22"/>
        </w:rPr>
        <w:endnoteRef/>
      </w:r>
      <w:r w:rsidRPr="003F156E">
        <w:rPr>
          <w:rFonts w:ascii="Roboto" w:hAnsi="Roboto"/>
          <w:sz w:val="22"/>
          <w:szCs w:val="22"/>
        </w:rPr>
        <w:t xml:space="preserve"> </w:t>
      </w:r>
      <w:r w:rsidR="008E6655" w:rsidRPr="003F156E">
        <w:rPr>
          <w:rFonts w:ascii="Roboto" w:hAnsi="Roboto"/>
          <w:sz w:val="22"/>
          <w:szCs w:val="22"/>
        </w:rPr>
        <w:t xml:space="preserve">National Osteoporosis Society. Stop at One Survey. (2013). </w:t>
      </w:r>
      <w:r w:rsidR="008E6655" w:rsidRPr="003F156E">
        <w:rPr>
          <w:rFonts w:ascii="Roboto" w:hAnsi="Roboto"/>
          <w:i/>
          <w:iCs/>
          <w:sz w:val="22"/>
          <w:szCs w:val="22"/>
        </w:rPr>
        <w:t>National Osteoporosis Society</w:t>
      </w:r>
    </w:p>
    <w:p w14:paraId="741A7C47" w14:textId="77777777" w:rsidR="00A93FD2" w:rsidRPr="003F156E" w:rsidRDefault="00A93FD2">
      <w:pPr>
        <w:pStyle w:val="EndnoteText"/>
        <w:rPr>
          <w:rFonts w:ascii="Roboto" w:hAnsi="Roboto"/>
          <w:sz w:val="22"/>
          <w:szCs w:val="22"/>
          <w:lang w:val="en-US"/>
        </w:rPr>
      </w:pPr>
    </w:p>
  </w:endnote>
  <w:endnote w:id="41">
    <w:p w14:paraId="2FCF33E2" w14:textId="6D2A6CF1" w:rsidR="008E6655" w:rsidRPr="003F156E" w:rsidRDefault="00B85C5B" w:rsidP="008E6655">
      <w:pPr>
        <w:spacing w:after="120"/>
        <w:rPr>
          <w:rFonts w:ascii="Roboto" w:hAnsi="Roboto"/>
        </w:rPr>
      </w:pPr>
      <w:r w:rsidRPr="003F156E">
        <w:rPr>
          <w:rStyle w:val="EndnoteReference"/>
          <w:rFonts w:ascii="Roboto" w:hAnsi="Roboto"/>
        </w:rPr>
        <w:endnoteRef/>
      </w:r>
      <w:r w:rsidRPr="003F156E">
        <w:rPr>
          <w:rFonts w:ascii="Roboto" w:hAnsi="Roboto"/>
        </w:rPr>
        <w:t xml:space="preserve"> </w:t>
      </w:r>
      <w:r w:rsidR="008E6655" w:rsidRPr="003F156E">
        <w:rPr>
          <w:rFonts w:ascii="Roboto" w:hAnsi="Roboto"/>
        </w:rPr>
        <w:t xml:space="preserve">Valentin et al, Socio-economic inequalities in fragility fracture incidence: a systematic review and meta-analysis of 61 observational studies. </w:t>
      </w:r>
      <w:proofErr w:type="spellStart"/>
      <w:r w:rsidR="008E6655" w:rsidRPr="003F156E">
        <w:rPr>
          <w:rFonts w:ascii="Roboto" w:hAnsi="Roboto"/>
        </w:rPr>
        <w:t>Osteoporos</w:t>
      </w:r>
      <w:proofErr w:type="spellEnd"/>
      <w:r w:rsidR="008E6655" w:rsidRPr="003F156E">
        <w:rPr>
          <w:rFonts w:ascii="Roboto" w:hAnsi="Roboto"/>
        </w:rPr>
        <w:t xml:space="preserve"> Int. 2021 Dec;32(12):2433-2448 (2021)</w:t>
      </w:r>
    </w:p>
    <w:p w14:paraId="1F7FE1B7" w14:textId="3B062BD6" w:rsidR="00B85C5B" w:rsidRPr="003F156E" w:rsidRDefault="00B85C5B">
      <w:pPr>
        <w:pStyle w:val="EndnoteText"/>
        <w:rPr>
          <w:rFonts w:ascii="Roboto" w:hAnsi="Roboto"/>
          <w:sz w:val="22"/>
          <w:szCs w:val="22"/>
          <w:lang w:val="en-US"/>
        </w:rPr>
      </w:pPr>
    </w:p>
  </w:endnote>
  <w:endnote w:id="42">
    <w:p w14:paraId="0717783A" w14:textId="77777777" w:rsidR="008E6655" w:rsidRPr="003F156E" w:rsidRDefault="00B85C5B" w:rsidP="008E6655">
      <w:pPr>
        <w:rPr>
          <w:rFonts w:ascii="Roboto" w:eastAsia="Roboto" w:hAnsi="Roboto" w:cs="Roboto"/>
        </w:rPr>
      </w:pPr>
      <w:r w:rsidRPr="003F156E">
        <w:rPr>
          <w:rStyle w:val="EndnoteReference"/>
          <w:rFonts w:ascii="Roboto" w:hAnsi="Roboto"/>
        </w:rPr>
        <w:endnoteRef/>
      </w:r>
      <w:r w:rsidRPr="003F156E">
        <w:rPr>
          <w:rFonts w:ascii="Roboto" w:hAnsi="Roboto"/>
        </w:rPr>
        <w:t xml:space="preserve"> </w:t>
      </w:r>
      <w:proofErr w:type="spellStart"/>
      <w:r w:rsidR="008E6655" w:rsidRPr="003F156E">
        <w:rPr>
          <w:rFonts w:ascii="Roboto" w:eastAsia="Roboto" w:hAnsi="Roboto" w:cs="Roboto"/>
        </w:rPr>
        <w:t>Svedbom</w:t>
      </w:r>
      <w:proofErr w:type="spellEnd"/>
      <w:r w:rsidR="008E6655" w:rsidRPr="003F156E">
        <w:rPr>
          <w:rFonts w:ascii="Roboto" w:eastAsia="Roboto" w:hAnsi="Roboto" w:cs="Roboto"/>
        </w:rPr>
        <w:t xml:space="preserve"> A, </w:t>
      </w:r>
      <w:proofErr w:type="spellStart"/>
      <w:r w:rsidR="008E6655" w:rsidRPr="003F156E">
        <w:rPr>
          <w:rFonts w:ascii="Roboto" w:eastAsia="Roboto" w:hAnsi="Roboto" w:cs="Roboto"/>
        </w:rPr>
        <w:t>Helmund</w:t>
      </w:r>
      <w:proofErr w:type="spellEnd"/>
      <w:r w:rsidR="008E6655" w:rsidRPr="003F156E">
        <w:rPr>
          <w:rFonts w:ascii="Roboto" w:eastAsia="Roboto" w:hAnsi="Roboto" w:cs="Roboto"/>
        </w:rPr>
        <w:t xml:space="preserve"> E, </w:t>
      </w:r>
      <w:proofErr w:type="spellStart"/>
      <w:r w:rsidR="008E6655" w:rsidRPr="003F156E">
        <w:rPr>
          <w:rFonts w:ascii="Roboto" w:eastAsia="Roboto" w:hAnsi="Roboto" w:cs="Roboto"/>
        </w:rPr>
        <w:t>Ivergard</w:t>
      </w:r>
      <w:proofErr w:type="spellEnd"/>
      <w:r w:rsidR="008E6655" w:rsidRPr="003F156E">
        <w:rPr>
          <w:rFonts w:ascii="Roboto" w:eastAsia="Roboto" w:hAnsi="Roboto" w:cs="Roboto"/>
        </w:rPr>
        <w:t xml:space="preserve"> M, Cooper C, Osteoporosis in the EU, a compendium of country-specific reports</w:t>
      </w:r>
    </w:p>
    <w:p w14:paraId="0778260A" w14:textId="2A6BFF52" w:rsidR="00B85C5B" w:rsidRPr="003F156E" w:rsidRDefault="00B85C5B">
      <w:pPr>
        <w:pStyle w:val="EndnoteText"/>
        <w:rPr>
          <w:rFonts w:ascii="Roboto" w:hAnsi="Roboto"/>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DA6D92A-8D6C-4D7A-9B31-A24031CAA82B}"/>
    <w:embedBold r:id="rId2" w:fontKey="{CBE31BB5-E2EF-415C-92C8-8E02A5BC0383}"/>
  </w:font>
  <w:font w:name="Roboto">
    <w:panose1 w:val="02000000000000000000"/>
    <w:charset w:val="00"/>
    <w:family w:val="auto"/>
    <w:pitch w:val="variable"/>
    <w:sig w:usb0="E00002FF" w:usb1="5000205B" w:usb2="00000020" w:usb3="00000000" w:csb0="0000019F" w:csb1="00000000"/>
    <w:embedRegular r:id="rId3" w:fontKey="{6D50BA31-DCC6-4991-91D1-D8D54D8F15A8}"/>
    <w:embedBold r:id="rId4" w:fontKey="{0C59BD0F-B442-4F0E-97EF-30DB233197FB}"/>
    <w:embedItalic r:id="rId5" w:fontKey="{C99F5AD7-57FE-4F01-9FB9-ECAAF071CAB9}"/>
  </w:font>
  <w:font w:name="Trade Gothic Next HvyCd">
    <w:charset w:val="00"/>
    <w:family w:val="swiss"/>
    <w:pitch w:val="variable"/>
    <w:sig w:usb0="8000002F" w:usb1="0000000A" w:usb2="00000000" w:usb3="00000000" w:csb0="00000001" w:csb1="00000000"/>
    <w:embedRegular r:id="rId6" w:fontKey="{809F2E1F-E3DD-4587-8CF5-07AB6D804740}"/>
  </w:font>
  <w:font w:name="Aptos">
    <w:charset w:val="00"/>
    <w:family w:val="swiss"/>
    <w:pitch w:val="variable"/>
    <w:sig w:usb0="20000287" w:usb1="00000003" w:usb2="00000000" w:usb3="00000000" w:csb0="0000019F" w:csb1="00000000"/>
    <w:embedRegular r:id="rId7" w:fontKey="{A1C84EAD-FAAD-4EF1-BD45-DC2FF8B2ED60}"/>
  </w:font>
  <w:font w:name="Roboto Light">
    <w:panose1 w:val="02000000000000000000"/>
    <w:charset w:val="00"/>
    <w:family w:val="auto"/>
    <w:pitch w:val="variable"/>
    <w:sig w:usb0="E00002FF" w:usb1="5000205B" w:usb2="00000020" w:usb3="00000000" w:csb0="0000019F" w:csb1="00000000"/>
    <w:embedRegular r:id="rId8" w:fontKey="{0D6FDC64-4B5B-4111-9379-C8196737D689}"/>
  </w:font>
  <w:font w:name="Calibri">
    <w:panose1 w:val="020F0502020204030204"/>
    <w:charset w:val="00"/>
    <w:family w:val="swiss"/>
    <w:pitch w:val="variable"/>
    <w:sig w:usb0="E4002EFF" w:usb1="C200247B" w:usb2="00000009" w:usb3="00000000" w:csb0="000001FF" w:csb1="00000000"/>
    <w:embedRegular r:id="rId9" w:fontKey="{60B0D922-AF2D-4750-BFEB-DA3B2EC05E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D306F" w14:textId="2CC71DA9" w:rsidR="00014D69" w:rsidRPr="00014D69" w:rsidRDefault="00014D69" w:rsidP="00614480">
    <w:pPr>
      <w:pStyle w:val="Footer"/>
      <w:jc w:val="right"/>
      <w:rPr>
        <w:lang w:val="en-US"/>
      </w:rPr>
    </w:pPr>
    <w:r>
      <w:rPr>
        <w:lang w:val="en-US"/>
      </w:rPr>
      <w:t xml:space="preserve">Version </w:t>
    </w:r>
    <w:r w:rsidR="00614480">
      <w:rPr>
        <w:lang w:val="en-US"/>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0AA9C" w14:textId="77777777" w:rsidR="00214FA0" w:rsidRDefault="00214FA0" w:rsidP="00B85C5B">
      <w:pPr>
        <w:spacing w:line="240" w:lineRule="auto"/>
      </w:pPr>
      <w:r>
        <w:separator/>
      </w:r>
    </w:p>
  </w:footnote>
  <w:footnote w:type="continuationSeparator" w:id="0">
    <w:p w14:paraId="0FC9EDE2" w14:textId="77777777" w:rsidR="00214FA0" w:rsidRDefault="00214FA0" w:rsidP="00B85C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B0BCF" w14:textId="3493A586" w:rsidR="006718B3" w:rsidRDefault="00AD7A45">
    <w:pPr>
      <w:pStyle w:val="Header"/>
    </w:pPr>
    <w:r>
      <w:rPr>
        <w:rFonts w:ascii="Roboto Light" w:hAnsi="Roboto Light"/>
        <w:noProof/>
      </w:rPr>
      <w:drawing>
        <wp:anchor distT="0" distB="0" distL="114300" distR="114300" simplePos="0" relativeHeight="251656192" behindDoc="1" locked="0" layoutInCell="1" allowOverlap="1" wp14:anchorId="7A34FEC9" wp14:editId="23D65C0C">
          <wp:simplePos x="0" y="0"/>
          <wp:positionH relativeFrom="column">
            <wp:posOffset>1600200</wp:posOffset>
          </wp:positionH>
          <wp:positionV relativeFrom="paragraph">
            <wp:posOffset>-1676400</wp:posOffset>
          </wp:positionV>
          <wp:extent cx="7883525" cy="13143230"/>
          <wp:effectExtent l="0" t="0" r="0" b="0"/>
          <wp:wrapNone/>
          <wp:docPr id="1518826765" name="Picture 3" descr="A white spin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26765" name="Picture 3" descr="A white spine with black background&#10;&#10;AI-generated content may be incorrect."/>
                  <pic:cNvPicPr/>
                </pic:nvPicPr>
                <pic:blipFill>
                  <a:blip r:embed="rId1" cstate="print">
                    <a:alphaModFix amt="50000"/>
                    <a:extLst>
                      <a:ext uri="{28A0092B-C50C-407E-A947-70E740481C1C}">
                        <a14:useLocalDpi xmlns:a14="http://schemas.microsoft.com/office/drawing/2010/main" val="0"/>
                      </a:ext>
                    </a:extLst>
                  </a:blip>
                  <a:stretch>
                    <a:fillRect/>
                  </a:stretch>
                </pic:blipFill>
                <pic:spPr>
                  <a:xfrm>
                    <a:off x="0" y="0"/>
                    <a:ext cx="7883525" cy="131432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31590CDF" wp14:editId="6559537E">
          <wp:simplePos x="0" y="0"/>
          <wp:positionH relativeFrom="margin">
            <wp:posOffset>-485775</wp:posOffset>
          </wp:positionH>
          <wp:positionV relativeFrom="paragraph">
            <wp:posOffset>-638175</wp:posOffset>
          </wp:positionV>
          <wp:extent cx="1323975" cy="580390"/>
          <wp:effectExtent l="0" t="0" r="9525" b="0"/>
          <wp:wrapSquare wrapText="bothSides"/>
          <wp:docPr id="599945197" name="Picture 17" descr="Royal Osteoporosis Society - JustG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 Osteoporosis Society - JustGivi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23975" cy="5803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DB034" w14:textId="1F41D9D4" w:rsidR="00FA0BA8" w:rsidRDefault="00FA0BA8">
    <w:pPr>
      <w:pStyle w:val="Header"/>
    </w:pPr>
    <w:r>
      <w:rPr>
        <w:rFonts w:ascii="Roboto Light" w:hAnsi="Roboto Light"/>
        <w:noProof/>
      </w:rPr>
      <w:drawing>
        <wp:anchor distT="0" distB="0" distL="114300" distR="114300" simplePos="0" relativeHeight="251669504" behindDoc="1" locked="0" layoutInCell="1" allowOverlap="1" wp14:anchorId="3F41A577" wp14:editId="5CD1C719">
          <wp:simplePos x="0" y="0"/>
          <wp:positionH relativeFrom="column">
            <wp:posOffset>1555269</wp:posOffset>
          </wp:positionH>
          <wp:positionV relativeFrom="paragraph">
            <wp:posOffset>-1670969</wp:posOffset>
          </wp:positionV>
          <wp:extent cx="7883525" cy="13143230"/>
          <wp:effectExtent l="0" t="0" r="0" b="0"/>
          <wp:wrapNone/>
          <wp:docPr id="665146304" name="Picture 3" descr="A white spin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26765" name="Picture 3" descr="A white spine with black background&#10;&#10;AI-generated content may be incorrect."/>
                  <pic:cNvPicPr/>
                </pic:nvPicPr>
                <pic:blipFill>
                  <a:blip r:embed="rId1" cstate="print">
                    <a:alphaModFix amt="50000"/>
                    <a:extLst>
                      <a:ext uri="{28A0092B-C50C-407E-A947-70E740481C1C}">
                        <a14:useLocalDpi xmlns:a14="http://schemas.microsoft.com/office/drawing/2010/main" val="0"/>
                      </a:ext>
                    </a:extLst>
                  </a:blip>
                  <a:stretch>
                    <a:fillRect/>
                  </a:stretch>
                </pic:blipFill>
                <pic:spPr>
                  <a:xfrm>
                    <a:off x="0" y="0"/>
                    <a:ext cx="7883525" cy="1314323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6B5"/>
    <w:rsid w:val="00014D69"/>
    <w:rsid w:val="00050819"/>
    <w:rsid w:val="00063A45"/>
    <w:rsid w:val="00084F6B"/>
    <w:rsid w:val="000B75E7"/>
    <w:rsid w:val="000C2E31"/>
    <w:rsid w:val="000E6999"/>
    <w:rsid w:val="001200AD"/>
    <w:rsid w:val="00130779"/>
    <w:rsid w:val="00136D57"/>
    <w:rsid w:val="0014173D"/>
    <w:rsid w:val="00176F2E"/>
    <w:rsid w:val="00180D61"/>
    <w:rsid w:val="001B306A"/>
    <w:rsid w:val="00214FA0"/>
    <w:rsid w:val="002209F2"/>
    <w:rsid w:val="002862AC"/>
    <w:rsid w:val="00287428"/>
    <w:rsid w:val="002B2617"/>
    <w:rsid w:val="002B53E8"/>
    <w:rsid w:val="002D073F"/>
    <w:rsid w:val="002E0A81"/>
    <w:rsid w:val="002E3931"/>
    <w:rsid w:val="00300E51"/>
    <w:rsid w:val="00303551"/>
    <w:rsid w:val="0034014C"/>
    <w:rsid w:val="0037789B"/>
    <w:rsid w:val="003865F0"/>
    <w:rsid w:val="00391D2C"/>
    <w:rsid w:val="003A1844"/>
    <w:rsid w:val="003B47A1"/>
    <w:rsid w:val="003B60A9"/>
    <w:rsid w:val="003D16B5"/>
    <w:rsid w:val="003D566A"/>
    <w:rsid w:val="003E23C1"/>
    <w:rsid w:val="003F156E"/>
    <w:rsid w:val="00401104"/>
    <w:rsid w:val="00402F45"/>
    <w:rsid w:val="00413B16"/>
    <w:rsid w:val="00435B28"/>
    <w:rsid w:val="00437183"/>
    <w:rsid w:val="00462693"/>
    <w:rsid w:val="004749F7"/>
    <w:rsid w:val="00480A80"/>
    <w:rsid w:val="00484527"/>
    <w:rsid w:val="004B36C4"/>
    <w:rsid w:val="004C026B"/>
    <w:rsid w:val="004F17DE"/>
    <w:rsid w:val="00510ECF"/>
    <w:rsid w:val="00563CF8"/>
    <w:rsid w:val="00572F97"/>
    <w:rsid w:val="005851C8"/>
    <w:rsid w:val="00585997"/>
    <w:rsid w:val="005B2CF9"/>
    <w:rsid w:val="005B3630"/>
    <w:rsid w:val="005B568F"/>
    <w:rsid w:val="00614480"/>
    <w:rsid w:val="006436D8"/>
    <w:rsid w:val="00657229"/>
    <w:rsid w:val="006718B3"/>
    <w:rsid w:val="006B2C1F"/>
    <w:rsid w:val="0074138B"/>
    <w:rsid w:val="00747A67"/>
    <w:rsid w:val="0075201D"/>
    <w:rsid w:val="0075459E"/>
    <w:rsid w:val="00760C35"/>
    <w:rsid w:val="007812BC"/>
    <w:rsid w:val="007A5339"/>
    <w:rsid w:val="007A5C38"/>
    <w:rsid w:val="007A6C62"/>
    <w:rsid w:val="007B793E"/>
    <w:rsid w:val="007C3DC7"/>
    <w:rsid w:val="00840336"/>
    <w:rsid w:val="00850670"/>
    <w:rsid w:val="00853365"/>
    <w:rsid w:val="0085535E"/>
    <w:rsid w:val="00872CCD"/>
    <w:rsid w:val="00874638"/>
    <w:rsid w:val="008762F1"/>
    <w:rsid w:val="008842A7"/>
    <w:rsid w:val="008E6655"/>
    <w:rsid w:val="008E6DB5"/>
    <w:rsid w:val="008F5972"/>
    <w:rsid w:val="009947A3"/>
    <w:rsid w:val="009A41D6"/>
    <w:rsid w:val="009A6D2C"/>
    <w:rsid w:val="009C0AA5"/>
    <w:rsid w:val="009F7E7A"/>
    <w:rsid w:val="00A068AF"/>
    <w:rsid w:val="00A345C8"/>
    <w:rsid w:val="00A46B5D"/>
    <w:rsid w:val="00A53AA3"/>
    <w:rsid w:val="00A60048"/>
    <w:rsid w:val="00A6014B"/>
    <w:rsid w:val="00A65FA5"/>
    <w:rsid w:val="00A75A06"/>
    <w:rsid w:val="00A763CB"/>
    <w:rsid w:val="00A87118"/>
    <w:rsid w:val="00A93FD2"/>
    <w:rsid w:val="00A94264"/>
    <w:rsid w:val="00AD7A45"/>
    <w:rsid w:val="00B02EF9"/>
    <w:rsid w:val="00B129DB"/>
    <w:rsid w:val="00B25CFD"/>
    <w:rsid w:val="00B54122"/>
    <w:rsid w:val="00B67559"/>
    <w:rsid w:val="00B85C5B"/>
    <w:rsid w:val="00BB3F1A"/>
    <w:rsid w:val="00BC4F3D"/>
    <w:rsid w:val="00C07825"/>
    <w:rsid w:val="00C40D4F"/>
    <w:rsid w:val="00C43DC5"/>
    <w:rsid w:val="00C830A0"/>
    <w:rsid w:val="00CE587B"/>
    <w:rsid w:val="00CF4307"/>
    <w:rsid w:val="00CF7B8E"/>
    <w:rsid w:val="00D157FE"/>
    <w:rsid w:val="00D20F8E"/>
    <w:rsid w:val="00D27935"/>
    <w:rsid w:val="00D40A1D"/>
    <w:rsid w:val="00D5339F"/>
    <w:rsid w:val="00D74C98"/>
    <w:rsid w:val="00DB6702"/>
    <w:rsid w:val="00DE093A"/>
    <w:rsid w:val="00E650BA"/>
    <w:rsid w:val="00E803CD"/>
    <w:rsid w:val="00EB0670"/>
    <w:rsid w:val="00ED01C4"/>
    <w:rsid w:val="00ED0870"/>
    <w:rsid w:val="00EE25BD"/>
    <w:rsid w:val="00EE4868"/>
    <w:rsid w:val="00EF1A31"/>
    <w:rsid w:val="00F06984"/>
    <w:rsid w:val="00F44F13"/>
    <w:rsid w:val="00F7467A"/>
    <w:rsid w:val="00F7773B"/>
    <w:rsid w:val="00FA0BA8"/>
    <w:rsid w:val="00FC724D"/>
    <w:rsid w:val="00FE16B8"/>
    <w:rsid w:val="00FE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B7B82"/>
  <w15:docId w15:val="{2A3B6CE9-B56A-4CD9-B4F3-F6E67BDC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EndnoteText">
    <w:name w:val="endnote text"/>
    <w:basedOn w:val="Normal"/>
    <w:link w:val="EndnoteTextChar"/>
    <w:uiPriority w:val="99"/>
    <w:semiHidden/>
    <w:unhideWhenUsed/>
    <w:rsid w:val="00B85C5B"/>
    <w:pPr>
      <w:spacing w:line="240" w:lineRule="auto"/>
    </w:pPr>
    <w:rPr>
      <w:sz w:val="20"/>
      <w:szCs w:val="20"/>
    </w:rPr>
  </w:style>
  <w:style w:type="character" w:customStyle="1" w:styleId="EndnoteTextChar">
    <w:name w:val="Endnote Text Char"/>
    <w:basedOn w:val="DefaultParagraphFont"/>
    <w:link w:val="EndnoteText"/>
    <w:uiPriority w:val="99"/>
    <w:semiHidden/>
    <w:rsid w:val="00B85C5B"/>
    <w:rPr>
      <w:sz w:val="20"/>
      <w:szCs w:val="20"/>
    </w:rPr>
  </w:style>
  <w:style w:type="character" w:styleId="EndnoteReference">
    <w:name w:val="endnote reference"/>
    <w:basedOn w:val="DefaultParagraphFont"/>
    <w:uiPriority w:val="99"/>
    <w:semiHidden/>
    <w:unhideWhenUsed/>
    <w:rsid w:val="00B85C5B"/>
    <w:rPr>
      <w:vertAlign w:val="superscript"/>
    </w:rPr>
  </w:style>
  <w:style w:type="paragraph" w:styleId="FootnoteText">
    <w:name w:val="footnote text"/>
    <w:basedOn w:val="Normal"/>
    <w:link w:val="FootnoteTextChar"/>
    <w:uiPriority w:val="99"/>
    <w:semiHidden/>
    <w:unhideWhenUsed/>
    <w:rsid w:val="003A1844"/>
    <w:pPr>
      <w:spacing w:line="240" w:lineRule="auto"/>
    </w:pPr>
    <w:rPr>
      <w:sz w:val="20"/>
      <w:szCs w:val="20"/>
    </w:rPr>
  </w:style>
  <w:style w:type="character" w:customStyle="1" w:styleId="FootnoteTextChar">
    <w:name w:val="Footnote Text Char"/>
    <w:basedOn w:val="DefaultParagraphFont"/>
    <w:link w:val="FootnoteText"/>
    <w:uiPriority w:val="99"/>
    <w:semiHidden/>
    <w:rsid w:val="003A1844"/>
    <w:rPr>
      <w:sz w:val="20"/>
      <w:szCs w:val="20"/>
    </w:rPr>
  </w:style>
  <w:style w:type="character" w:styleId="FootnoteReference">
    <w:name w:val="footnote reference"/>
    <w:basedOn w:val="DefaultParagraphFont"/>
    <w:uiPriority w:val="99"/>
    <w:semiHidden/>
    <w:unhideWhenUsed/>
    <w:rsid w:val="003A1844"/>
    <w:rPr>
      <w:vertAlign w:val="superscript"/>
    </w:rPr>
  </w:style>
  <w:style w:type="paragraph" w:styleId="NoSpacing">
    <w:name w:val="No Spacing"/>
    <w:uiPriority w:val="1"/>
    <w:qFormat/>
    <w:rsid w:val="00A94264"/>
    <w:pPr>
      <w:spacing w:line="240" w:lineRule="auto"/>
    </w:pPr>
    <w:rPr>
      <w:rFonts w:asciiTheme="minorHAnsi" w:eastAsiaTheme="minorHAnsi" w:hAnsiTheme="minorHAnsi" w:cstheme="minorBidi"/>
      <w:kern w:val="2"/>
      <w:sz w:val="24"/>
      <w:szCs w:val="24"/>
      <w:lang w:eastAsia="en-US"/>
      <w14:ligatures w14:val="standardContextual"/>
    </w:rPr>
  </w:style>
  <w:style w:type="paragraph" w:styleId="Header">
    <w:name w:val="header"/>
    <w:basedOn w:val="Normal"/>
    <w:link w:val="HeaderChar"/>
    <w:uiPriority w:val="99"/>
    <w:unhideWhenUsed/>
    <w:rsid w:val="00050819"/>
    <w:pPr>
      <w:tabs>
        <w:tab w:val="center" w:pos="4513"/>
        <w:tab w:val="right" w:pos="9026"/>
      </w:tabs>
      <w:spacing w:line="240" w:lineRule="auto"/>
    </w:pPr>
  </w:style>
  <w:style w:type="character" w:customStyle="1" w:styleId="HeaderChar">
    <w:name w:val="Header Char"/>
    <w:basedOn w:val="DefaultParagraphFont"/>
    <w:link w:val="Header"/>
    <w:uiPriority w:val="99"/>
    <w:rsid w:val="00050819"/>
  </w:style>
  <w:style w:type="paragraph" w:styleId="Footer">
    <w:name w:val="footer"/>
    <w:basedOn w:val="Normal"/>
    <w:link w:val="FooterChar"/>
    <w:uiPriority w:val="99"/>
    <w:unhideWhenUsed/>
    <w:rsid w:val="00050819"/>
    <w:pPr>
      <w:tabs>
        <w:tab w:val="center" w:pos="4513"/>
        <w:tab w:val="right" w:pos="9026"/>
      </w:tabs>
      <w:spacing w:line="240" w:lineRule="auto"/>
    </w:pPr>
  </w:style>
  <w:style w:type="character" w:customStyle="1" w:styleId="FooterChar">
    <w:name w:val="Footer Char"/>
    <w:basedOn w:val="DefaultParagraphFont"/>
    <w:link w:val="Footer"/>
    <w:uiPriority w:val="99"/>
    <w:rsid w:val="00050819"/>
  </w:style>
  <w:style w:type="character" w:styleId="Hyperlink">
    <w:name w:val="Hyperlink"/>
    <w:basedOn w:val="DefaultParagraphFont"/>
    <w:uiPriority w:val="99"/>
    <w:unhideWhenUsed/>
    <w:rsid w:val="00CE587B"/>
    <w:rPr>
      <w:color w:val="0000FF" w:themeColor="hyperlink"/>
      <w:u w:val="single"/>
    </w:rPr>
  </w:style>
  <w:style w:type="character" w:styleId="CommentReference">
    <w:name w:val="annotation reference"/>
    <w:basedOn w:val="DefaultParagraphFont"/>
    <w:uiPriority w:val="99"/>
    <w:semiHidden/>
    <w:unhideWhenUsed/>
    <w:rsid w:val="005B568F"/>
    <w:rPr>
      <w:sz w:val="16"/>
      <w:szCs w:val="16"/>
    </w:rPr>
  </w:style>
  <w:style w:type="paragraph" w:styleId="CommentText">
    <w:name w:val="annotation text"/>
    <w:basedOn w:val="Normal"/>
    <w:link w:val="CommentTextChar"/>
    <w:uiPriority w:val="99"/>
    <w:unhideWhenUsed/>
    <w:rsid w:val="005B568F"/>
    <w:pPr>
      <w:spacing w:line="240" w:lineRule="auto"/>
    </w:pPr>
    <w:rPr>
      <w:sz w:val="20"/>
      <w:szCs w:val="20"/>
    </w:rPr>
  </w:style>
  <w:style w:type="character" w:customStyle="1" w:styleId="CommentTextChar">
    <w:name w:val="Comment Text Char"/>
    <w:basedOn w:val="DefaultParagraphFont"/>
    <w:link w:val="CommentText"/>
    <w:uiPriority w:val="99"/>
    <w:rsid w:val="005B568F"/>
    <w:rPr>
      <w:sz w:val="20"/>
      <w:szCs w:val="20"/>
    </w:rPr>
  </w:style>
  <w:style w:type="paragraph" w:styleId="CommentSubject">
    <w:name w:val="annotation subject"/>
    <w:basedOn w:val="CommentText"/>
    <w:next w:val="CommentText"/>
    <w:link w:val="CommentSubjectChar"/>
    <w:uiPriority w:val="99"/>
    <w:semiHidden/>
    <w:unhideWhenUsed/>
    <w:rsid w:val="005B568F"/>
    <w:rPr>
      <w:b/>
      <w:bCs/>
    </w:rPr>
  </w:style>
  <w:style w:type="character" w:customStyle="1" w:styleId="CommentSubjectChar">
    <w:name w:val="Comment Subject Char"/>
    <w:basedOn w:val="CommentTextChar"/>
    <w:link w:val="CommentSubject"/>
    <w:uiPriority w:val="99"/>
    <w:semiHidden/>
    <w:rsid w:val="005B56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FLS@theros.org.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healthcareimprovementscotland.org/previous_resources/audit_report/osteoporotic_fractures_audit.aspx" TargetMode="External"/><Relationship Id="rId13" Type="http://schemas.openxmlformats.org/officeDocument/2006/relationships/hyperlink" Target="http://nos.org.uk/media/1776/clinical-standards-report.pdf" TargetMode="External"/><Relationship Id="rId3" Type="http://schemas.openxmlformats.org/officeDocument/2006/relationships/hyperlink" Target="http://www.healthcareimprovementscotland.org/previous_resources/audit_report/osteoporotic_fractures_audit.aspx" TargetMode="External"/><Relationship Id="rId7" Type="http://schemas.openxmlformats.org/officeDocument/2006/relationships/hyperlink" Target="http://www.healthcareimprovementscotland.org/previous_resources/audit_report/osteoporotic_fractures_audit.aspx" TargetMode="External"/><Relationship Id="rId12" Type="http://schemas.openxmlformats.org/officeDocument/2006/relationships/hyperlink" Target="http://share.iofbonehealth.org/EU-6-Material/Reports/IOF%20Report_EU.pdf" TargetMode="External"/><Relationship Id="rId2" Type="http://schemas.openxmlformats.org/officeDocument/2006/relationships/hyperlink" Target="http://www.healthcareimprovementscotland.org/previous_resources/audit_report/osteoporotic_fractures_audit.aspx" TargetMode="External"/><Relationship Id="rId16" Type="http://schemas.openxmlformats.org/officeDocument/2006/relationships/hyperlink" Target="https://www.sciencedirect.com/journal/injury/vol/54/suppl/S5" TargetMode="External"/><Relationship Id="rId1" Type="http://schemas.openxmlformats.org/officeDocument/2006/relationships/hyperlink" Target="http://www.healthcareimprovementscotland.org/previous_resources/audit_report/osteoporotic_fractures_audit.aspx" TargetMode="External"/><Relationship Id="rId6" Type="http://schemas.openxmlformats.org/officeDocument/2006/relationships/hyperlink" Target="http://www.healthcareimprovementscotland.org/previous_resources/audit_report/osteoporotic_fractures_audit.aspx" TargetMode="External"/><Relationship Id="rId11" Type="http://schemas.openxmlformats.org/officeDocument/2006/relationships/hyperlink" Target="http://share.iofbonehealth.org/EU-6-Material/Reports/IOF%20Report_EU.pdf" TargetMode="External"/><Relationship Id="rId5" Type="http://schemas.openxmlformats.org/officeDocument/2006/relationships/hyperlink" Target="http://www.healthcareimprovementscotland.org/previous_resources/audit_report/osteoporotic_fractures_audit.aspx" TargetMode="External"/><Relationship Id="rId15" Type="http://schemas.openxmlformats.org/officeDocument/2006/relationships/hyperlink" Target="https://www.sciencedirect.com/journal/injury/vol/54/suppl/S5" TargetMode="External"/><Relationship Id="rId10" Type="http://schemas.openxmlformats.org/officeDocument/2006/relationships/hyperlink" Target="https://www.rcp.ac.uk/95436" TargetMode="External"/><Relationship Id="rId4" Type="http://schemas.openxmlformats.org/officeDocument/2006/relationships/hyperlink" Target="http://www.healthcareimprovementscotland.org/previous_resources/audit_report/osteoporotic_fractures_audit.aspx" TargetMode="External"/><Relationship Id="rId9" Type="http://schemas.openxmlformats.org/officeDocument/2006/relationships/hyperlink" Target="https://theros.org.uk/how-you-can-help/get-involved/campaign-with-us/all-party-parliamentary-group-on-osteoporosis/" TargetMode="External"/><Relationship Id="rId14" Type="http://schemas.openxmlformats.org/officeDocument/2006/relationships/hyperlink" Target="http://nos.org.uk/media/1776/clinical-standards-report.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Word Document" ma:contentTypeID="0x0101009A3574456A5AA64F8FAB1A91F40DCA7E" ma:contentTypeVersion="53" ma:contentTypeDescription="Create a new document." ma:contentTypeScope="" ma:versionID="0d85d11177acc556192611c71d8a5897">
  <xsd:schema xmlns:xsd="http://www.w3.org/2001/XMLSchema" xmlns:xs="http://www.w3.org/2001/XMLSchema" xmlns:p="http://schemas.microsoft.com/office/2006/metadata/properties" xmlns:ns1="http://schemas.microsoft.com/sharepoint/v3" xmlns:ns2="5174190d-c54a-49d0-989e-8efa7c5085b2" xmlns:ns3="c8c20058-494d-43f0-b534-aac60bcd117f" targetNamespace="http://schemas.microsoft.com/office/2006/metadata/properties" ma:root="true" ma:fieldsID="97720133a3c211a553b80d43bbbf2718" ns1:_="" ns2:_="" ns3:_="">
    <xsd:import namespace="http://schemas.microsoft.com/sharepoint/v3"/>
    <xsd:import namespace="5174190d-c54a-49d0-989e-8efa7c5085b2"/>
    <xsd:import namespace="c8c20058-494d-43f0-b534-aac60bcd117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No_x002e_" minOccurs="0"/>
                <xsd:element ref="ns3:FileNo_x002e_" minOccurs="0"/>
                <xsd:element ref="ns3:Status" minOccurs="0"/>
                <xsd:element ref="ns3:Filepath" minOccurs="0"/>
                <xsd:element ref="ns1:_ip_UnifiedCompliancePolicyProperties" minOccurs="0"/>
                <xsd:element ref="ns1:_ip_UnifiedCompliancePolicyUIAction" minOccurs="0"/>
                <xsd:element ref="ns3:MediaServiceAutoKeyPoints" minOccurs="0"/>
                <xsd:element ref="ns3:MediaServiceKeyPoints" minOccurs="0"/>
                <xsd:element ref="ns3:MCWorkplan2020" minOccurs="0"/>
                <xsd:element ref="ns3:dateadded" minOccurs="0"/>
                <xsd:element ref="ns3:Comments" minOccurs="0"/>
                <xsd:element ref="ns3:MediaLengthInSeconds" minOccurs="0"/>
                <xsd:element ref="ns3:_Flow_SignoffStatus" minOccurs="0"/>
                <xsd:element ref="ns3:Date" minOccurs="0"/>
                <xsd:element ref="ns3:London" minOccurs="0"/>
                <xsd:element ref="ns3:64e6b524-7219-4aa1-83ed-fd102d1aba44CountryOrRegion" minOccurs="0"/>
                <xsd:element ref="ns3:64e6b524-7219-4aa1-83ed-fd102d1aba44State" minOccurs="0"/>
                <xsd:element ref="ns3:64e6b524-7219-4aa1-83ed-fd102d1aba44City" minOccurs="0"/>
                <xsd:element ref="ns3:64e6b524-7219-4aa1-83ed-fd102d1aba44PostalCode" minOccurs="0"/>
                <xsd:element ref="ns3:64e6b524-7219-4aa1-83ed-fd102d1aba44Street" minOccurs="0"/>
                <xsd:element ref="ns3:64e6b524-7219-4aa1-83ed-fd102d1aba44GeoLoc" minOccurs="0"/>
                <xsd:element ref="ns3:64e6b524-7219-4aa1-83ed-fd102d1aba44DispName" minOccurs="0"/>
                <xsd:element ref="ns3:lcf76f155ced4ddcb4097134ff3c332f" minOccurs="0"/>
                <xsd:element ref="ns2:TaxCatchAll" minOccurs="0"/>
                <xsd:element ref="ns3:MediaServiceSearchProperties" minOccurs="0"/>
                <xsd:element ref="ns3:SLAScomment" minOccurs="0"/>
                <xsd:element ref="ns3:MediaServiceObjectDetectorVersions" minOccurs="0"/>
                <xsd:element ref="ns3:Notes" minOccurs="0"/>
                <xsd:element ref="ns3:MediaServiceBillingMetadata" minOccurs="0"/>
                <xsd:element ref="ns3:CountryOrRegion64e6b524-7219-4aa1-83ed-fd102d1aba44" minOccurs="0"/>
                <xsd:element ref="ns3:State64e6b524-7219-4aa1-83ed-fd102d1aba44" minOccurs="0"/>
                <xsd:element ref="ns3:City64e6b524-7219-4aa1-83ed-fd102d1aba44" minOccurs="0"/>
                <xsd:element ref="ns3:PostalCode64e6b524-7219-4aa1-83ed-fd102d1aba44" minOccurs="0"/>
                <xsd:element ref="ns3:Street64e6b524-7219-4aa1-83ed-fd102d1aba44" minOccurs="0"/>
                <xsd:element ref="ns3:GeoLoc64e6b524-7219-4aa1-83ed-fd102d1aba44" minOccurs="0"/>
                <xsd:element ref="ns3:DispName64e6b524-7219-4aa1-83ed-fd102d1aba44" minOccurs="0"/>
                <xsd:element ref="ns3:DispName64e6b524-7219-4aa1-83ed-fd102d1aba44"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74190d-c54a-49d0-989e-8efa7c5085b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b8daca0b-1394-43b8-803f-8f3df97c84b0}" ma:internalName="TaxCatchAll" ma:showField="CatchAllData" ma:web="5174190d-c54a-49d0-989e-8efa7c5085b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c20058-494d-43f0-b534-aac60bcd117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description=""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_x002e_" ma:index="18" nillable="true" ma:displayName="No." ma:decimals="0" ma:format="Dropdown" ma:internalName="No_x002e_" ma:percentage="FALSE">
      <xsd:simpleType>
        <xsd:restriction base="dms:Number"/>
      </xsd:simpleType>
    </xsd:element>
    <xsd:element name="FileNo_x002e_" ma:index="19" nillable="true" ma:displayName="File No." ma:format="Dropdown" ma:internalName="FileNo_x002e_" ma:percentage="FALSE">
      <xsd:simpleType>
        <xsd:restriction base="dms:Number">
          <xsd:maxInclusive value="12"/>
          <xsd:minInclusive value="1"/>
        </xsd:restriction>
      </xsd:simpleType>
    </xsd:element>
    <xsd:element name="Status" ma:index="20" nillable="true" ma:displayName="Status" ma:format="Dropdown" ma:internalName="Status">
      <xsd:simpleType>
        <xsd:restriction base="dms:Text">
          <xsd:maxLength value="255"/>
        </xsd:restriction>
      </xsd:simpleType>
    </xsd:element>
    <xsd:element name="Filepath" ma:index="21" nillable="true" ma:displayName="File path" ma:format="Hyperlink" ma:internalName="Filepath">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CWorkplan2020" ma:index="26" nillable="true" ma:displayName="M&amp;C Workplan 2020" ma:format="Hyperlink" ma:internalName="MCWorkplan2020">
      <xsd:complexType>
        <xsd:complexContent>
          <xsd:extension base="dms:URL">
            <xsd:sequence>
              <xsd:element name="Url" type="dms:ValidUrl" minOccurs="0" nillable="true"/>
              <xsd:element name="Description" type="xsd:string" nillable="true"/>
            </xsd:sequence>
          </xsd:extension>
        </xsd:complexContent>
      </xsd:complexType>
    </xsd:element>
    <xsd:element name="dateadded" ma:index="27" nillable="true" ma:displayName="date added" ma:format="DateOnly" ma:internalName="dateadded">
      <xsd:simpleType>
        <xsd:restriction base="dms:DateTime"/>
      </xsd:simpleType>
    </xsd:element>
    <xsd:element name="Comments" ma:index="28" nillable="true" ma:displayName="Comments" ma:description="No CSV - Emailed Customer 05/01/2021" ma:format="Dropdown" ma:internalName="Comments">
      <xsd:simpleType>
        <xsd:restriction base="dms:Text">
          <xsd:maxLength value="255"/>
        </xsd:restriction>
      </xsd:simpleType>
    </xsd:element>
    <xsd:element name="MediaLengthInSeconds" ma:index="29" nillable="true" ma:displayName="Length (seconds)" ma:internalName="MediaLengthInSeconds" ma:readOnly="true">
      <xsd:simpleType>
        <xsd:restriction base="dms:Unknown"/>
      </xsd:simpleType>
    </xsd:element>
    <xsd:element name="_Flow_SignoffStatus" ma:index="30" nillable="true" ma:displayName="Sign-off status" ma:internalName="Sign_x002d_off_x0020_status">
      <xsd:simpleType>
        <xsd:restriction base="dms:Text"/>
      </xsd:simpleType>
    </xsd:element>
    <xsd:element name="Date" ma:index="31" nillable="true" ma:displayName="Date" ma:format="DateOnly" ma:internalName="Date">
      <xsd:simpleType>
        <xsd:restriction base="dms:DateTime"/>
      </xsd:simpleType>
    </xsd:element>
    <xsd:element name="London" ma:index="32" nillable="true" ma:displayName="London" ma:format="Dropdown" ma:internalName="London">
      <xsd:simpleType>
        <xsd:restriction base="dms:Unknown"/>
      </xsd:simpleType>
    </xsd:element>
    <xsd:element name="64e6b524-7219-4aa1-83ed-fd102d1aba44CountryOrRegion" ma:index="33" nillable="true" ma:displayName="London: Country/Region" ma:internalName="CountryOrRegion" ma:readOnly="true">
      <xsd:simpleType>
        <xsd:restriction base="dms:Text"/>
      </xsd:simpleType>
    </xsd:element>
    <xsd:element name="64e6b524-7219-4aa1-83ed-fd102d1aba44State" ma:index="34" nillable="true" ma:displayName="London: State" ma:internalName="State" ma:readOnly="true">
      <xsd:simpleType>
        <xsd:restriction base="dms:Text"/>
      </xsd:simpleType>
    </xsd:element>
    <xsd:element name="64e6b524-7219-4aa1-83ed-fd102d1aba44City" ma:index="35" nillable="true" ma:displayName="London: City" ma:internalName="City" ma:readOnly="true">
      <xsd:simpleType>
        <xsd:restriction base="dms:Text"/>
      </xsd:simpleType>
    </xsd:element>
    <xsd:element name="64e6b524-7219-4aa1-83ed-fd102d1aba44PostalCode" ma:index="36" nillable="true" ma:displayName="London: Postal Code" ma:internalName="PostalCode" ma:readOnly="true">
      <xsd:simpleType>
        <xsd:restriction base="dms:Text"/>
      </xsd:simpleType>
    </xsd:element>
    <xsd:element name="64e6b524-7219-4aa1-83ed-fd102d1aba44Street" ma:index="37" nillable="true" ma:displayName="London: Street" ma:internalName="Street" ma:readOnly="true">
      <xsd:simpleType>
        <xsd:restriction base="dms:Text"/>
      </xsd:simpleType>
    </xsd:element>
    <xsd:element name="64e6b524-7219-4aa1-83ed-fd102d1aba44GeoLoc" ma:index="38" nillable="true" ma:displayName="London: Coordinates" ma:internalName="GeoLoc" ma:readOnly="true">
      <xsd:simpleType>
        <xsd:restriction base="dms:Unknown"/>
      </xsd:simpleType>
    </xsd:element>
    <xsd:element name="64e6b524-7219-4aa1-83ed-fd102d1aba44DispName" ma:index="39" nillable="true" ma:displayName="London: Name" ma:internalName="DispNam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65395198-b78a-4fa9-a5a0-ede234e1131f"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SLAScomment" ma:index="44" nillable="true" ma:displayName="SL  comment" ma:format="Dropdown" ma:internalName="SLAScomment">
      <xsd:simpleType>
        <xsd:restriction base="dms:Text">
          <xsd:maxLength value="255"/>
        </xsd:restriction>
      </xsd:simpleType>
    </xsd:element>
    <xsd:element name="MediaServiceObjectDetectorVersions" ma:index="45" nillable="true" ma:displayName="MediaServiceObjectDetectorVersions" ma:description="" ma:hidden="true" ma:indexed="true" ma:internalName="MediaServiceObjectDetectorVersions" ma:readOnly="true">
      <xsd:simpleType>
        <xsd:restriction base="dms:Text"/>
      </xsd:simpleType>
    </xsd:element>
    <xsd:element name="Notes" ma:index="46" nillable="true" ma:displayName="Notes" ma:format="Dropdown" ma:internalName="Notes">
      <xsd:simpleType>
        <xsd:restriction base="dms:Text">
          <xsd:maxLength value="255"/>
        </xsd:restriction>
      </xsd:simpleType>
    </xsd:element>
    <xsd:element name="MediaServiceBillingMetadata" ma:index="47" nillable="true" ma:displayName="MediaServiceBillingMetadata" ma:hidden="true" ma:internalName="MediaServiceBillingMetadata" ma:readOnly="true">
      <xsd:simpleType>
        <xsd:restriction base="dms:Note"/>
      </xsd:simpleType>
    </xsd:element>
    <xsd:element name="CountryOrRegion64e6b524-7219-4aa1-83ed-fd102d1aba44" ma:index="48" nillable="true" ma:displayName="London: Country/Region" ma:internalName="CountryOrRegion0" ma:readOnly="true">
      <xsd:simpleType>
        <xsd:restriction base="dms:Text"/>
      </xsd:simpleType>
    </xsd:element>
    <xsd:element name="State64e6b524-7219-4aa1-83ed-fd102d1aba44" ma:index="49" nillable="true" ma:displayName="London: State" ma:internalName="State0" ma:readOnly="true">
      <xsd:simpleType>
        <xsd:restriction base="dms:Text"/>
      </xsd:simpleType>
    </xsd:element>
    <xsd:element name="City64e6b524-7219-4aa1-83ed-fd102d1aba44" ma:index="50" nillable="true" ma:displayName="London: City" ma:internalName="City0" ma:readOnly="true">
      <xsd:simpleType>
        <xsd:restriction base="dms:Text"/>
      </xsd:simpleType>
    </xsd:element>
    <xsd:element name="PostalCode64e6b524-7219-4aa1-83ed-fd102d1aba44" ma:index="51" nillable="true" ma:displayName="London: Postal Code" ma:internalName="PostalCode0" ma:readOnly="true">
      <xsd:simpleType>
        <xsd:restriction base="dms:Text"/>
      </xsd:simpleType>
    </xsd:element>
    <xsd:element name="Street64e6b524-7219-4aa1-83ed-fd102d1aba44" ma:index="52" nillable="true" ma:displayName="London: Street" ma:internalName="Street0" ma:readOnly="true">
      <xsd:simpleType>
        <xsd:restriction base="dms:Text"/>
      </xsd:simpleType>
    </xsd:element>
    <xsd:element name="GeoLoc64e6b524-7219-4aa1-83ed-fd102d1aba44" ma:index="53" nillable="true" ma:displayName="London: Coordinates" ma:internalName="GeoLoc0" ma:readOnly="true">
      <xsd:simpleType>
        <xsd:restriction base="dms:Unknown"/>
      </xsd:simpleType>
    </xsd:element>
    <xsd:element name="DispName64e6b524-7219-4aa1-83ed-fd102d1aba44" ma:index="54" nillable="true" ma:displayName="London: Name" ma:internalName="DispName0" ma:readOnly="true">
      <xsd:simpleType>
        <xsd:restriction base="dms:Text"/>
      </xsd:simpleType>
    </xsd:element>
    <xsd:element name="DispName64e6b524-7219-4aa1-83ed-fd102d1aba44" ma:index="55" nillable="true" ma:displayName="London: Name" ma:internalName="DispName1"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4014DD-7ECB-4AD2-A59D-08CEBC9CCF13}">
  <ds:schemaRefs>
    <ds:schemaRef ds:uri="http://schemas.microsoft.com/sharepoint/v3/contenttype/forms"/>
  </ds:schemaRefs>
</ds:datastoreItem>
</file>

<file path=customXml/itemProps2.xml><?xml version="1.0" encoding="utf-8"?>
<ds:datastoreItem xmlns:ds="http://schemas.openxmlformats.org/officeDocument/2006/customXml" ds:itemID="{5AC43F20-7C03-4C48-870D-C9E5AC00920C}">
  <ds:schemaRefs>
    <ds:schemaRef ds:uri="http://schemas.openxmlformats.org/officeDocument/2006/bibliography"/>
  </ds:schemaRefs>
</ds:datastoreItem>
</file>

<file path=customXml/itemProps3.xml><?xml version="1.0" encoding="utf-8"?>
<ds:datastoreItem xmlns:ds="http://schemas.openxmlformats.org/officeDocument/2006/customXml" ds:itemID="{1DDC5CD5-73CC-4F60-A746-AF6091F80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174190d-c54a-49d0-989e-8efa7c5085b2"/>
    <ds:schemaRef ds:uri="c8c20058-494d-43f0-b534-aac60bcd11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1259</Words>
  <Characters>6236</Characters>
  <Application>Microsoft Office Word</Application>
  <DocSecurity>0</DocSecurity>
  <Lines>138</Lines>
  <Paragraphs>53</Paragraphs>
  <ScaleCrop>false</ScaleCrop>
  <Company/>
  <LinksUpToDate>false</LinksUpToDate>
  <CharactersWithSpaces>7442</CharactersWithSpaces>
  <SharedDoc>false</SharedDoc>
  <HLinks>
    <vt:vector size="108" baseType="variant">
      <vt:variant>
        <vt:i4>1572876</vt:i4>
      </vt:variant>
      <vt:variant>
        <vt:i4>51</vt:i4>
      </vt:variant>
      <vt:variant>
        <vt:i4>0</vt:i4>
      </vt:variant>
      <vt:variant>
        <vt:i4>5</vt:i4>
      </vt:variant>
      <vt:variant>
        <vt:lpwstr>https://www.sciencedirect.com/journal/injury/vol/54/suppl/S5</vt:lpwstr>
      </vt:variant>
      <vt:variant>
        <vt:lpwstr/>
      </vt:variant>
      <vt:variant>
        <vt:i4>1572876</vt:i4>
      </vt:variant>
      <vt:variant>
        <vt:i4>48</vt:i4>
      </vt:variant>
      <vt:variant>
        <vt:i4>0</vt:i4>
      </vt:variant>
      <vt:variant>
        <vt:i4>5</vt:i4>
      </vt:variant>
      <vt:variant>
        <vt:lpwstr>https://www.sciencedirect.com/journal/injury/vol/54/suppl/S5</vt:lpwstr>
      </vt:variant>
      <vt:variant>
        <vt:lpwstr/>
      </vt:variant>
      <vt:variant>
        <vt:i4>3342462</vt:i4>
      </vt:variant>
      <vt:variant>
        <vt:i4>45</vt:i4>
      </vt:variant>
      <vt:variant>
        <vt:i4>0</vt:i4>
      </vt:variant>
      <vt:variant>
        <vt:i4>5</vt:i4>
      </vt:variant>
      <vt:variant>
        <vt:lpwstr>http://nos.org.uk/media/1776/clinical-standards-report.pdf</vt:lpwstr>
      </vt:variant>
      <vt:variant>
        <vt:lpwstr/>
      </vt:variant>
      <vt:variant>
        <vt:i4>3342462</vt:i4>
      </vt:variant>
      <vt:variant>
        <vt:i4>42</vt:i4>
      </vt:variant>
      <vt:variant>
        <vt:i4>0</vt:i4>
      </vt:variant>
      <vt:variant>
        <vt:i4>5</vt:i4>
      </vt:variant>
      <vt:variant>
        <vt:lpwstr>http://nos.org.uk/media/1776/clinical-standards-report.pdf</vt:lpwstr>
      </vt:variant>
      <vt:variant>
        <vt:lpwstr/>
      </vt:variant>
      <vt:variant>
        <vt:i4>1310841</vt:i4>
      </vt:variant>
      <vt:variant>
        <vt:i4>39</vt:i4>
      </vt:variant>
      <vt:variant>
        <vt:i4>0</vt:i4>
      </vt:variant>
      <vt:variant>
        <vt:i4>5</vt:i4>
      </vt:variant>
      <vt:variant>
        <vt:lpwstr>http://share.iofbonehealth.org/EU-6-Material/Reports/IOF Report_EU.pdf</vt:lpwstr>
      </vt:variant>
      <vt:variant>
        <vt:lpwstr/>
      </vt:variant>
      <vt:variant>
        <vt:i4>1310841</vt:i4>
      </vt:variant>
      <vt:variant>
        <vt:i4>36</vt:i4>
      </vt:variant>
      <vt:variant>
        <vt:i4>0</vt:i4>
      </vt:variant>
      <vt:variant>
        <vt:i4>5</vt:i4>
      </vt:variant>
      <vt:variant>
        <vt:lpwstr>http://share.iofbonehealth.org/EU-6-Material/Reports/IOF Report_EU.pdf</vt:lpwstr>
      </vt:variant>
      <vt:variant>
        <vt:lpwstr/>
      </vt:variant>
      <vt:variant>
        <vt:i4>3801195</vt:i4>
      </vt:variant>
      <vt:variant>
        <vt:i4>33</vt:i4>
      </vt:variant>
      <vt:variant>
        <vt:i4>0</vt:i4>
      </vt:variant>
      <vt:variant>
        <vt:i4>5</vt:i4>
      </vt:variant>
      <vt:variant>
        <vt:lpwstr>https://www.rcp.ac.uk/95436</vt:lpwstr>
      </vt:variant>
      <vt:variant>
        <vt:lpwstr/>
      </vt:variant>
      <vt:variant>
        <vt:i4>3801141</vt:i4>
      </vt:variant>
      <vt:variant>
        <vt:i4>30</vt:i4>
      </vt:variant>
      <vt:variant>
        <vt:i4>0</vt:i4>
      </vt:variant>
      <vt:variant>
        <vt:i4>5</vt:i4>
      </vt:variant>
      <vt:variant>
        <vt:lpwstr>https://theros.org.uk/how-you-can-help/get-involved/campaign-with-us/all-party-parliamentary-group-on-osteoporosis/</vt:lpwstr>
      </vt:variant>
      <vt:variant>
        <vt:lpwstr/>
      </vt:variant>
      <vt:variant>
        <vt:i4>2293873</vt:i4>
      </vt:variant>
      <vt:variant>
        <vt:i4>27</vt:i4>
      </vt:variant>
      <vt:variant>
        <vt:i4>0</vt:i4>
      </vt:variant>
      <vt:variant>
        <vt:i4>5</vt:i4>
      </vt:variant>
      <vt:variant>
        <vt:lpwstr>http://www.healthcareimprovementscotland.org/previous_resources/audit_report/osteoporotic_fractures_audit.aspx</vt:lpwstr>
      </vt:variant>
      <vt:variant>
        <vt:lpwstr/>
      </vt:variant>
      <vt:variant>
        <vt:i4>2293873</vt:i4>
      </vt:variant>
      <vt:variant>
        <vt:i4>24</vt:i4>
      </vt:variant>
      <vt:variant>
        <vt:i4>0</vt:i4>
      </vt:variant>
      <vt:variant>
        <vt:i4>5</vt:i4>
      </vt:variant>
      <vt:variant>
        <vt:lpwstr>http://www.healthcareimprovementscotland.org/previous_resources/audit_report/osteoporotic_fractures_audit.aspx</vt:lpwstr>
      </vt:variant>
      <vt:variant>
        <vt:lpwstr/>
      </vt:variant>
      <vt:variant>
        <vt:i4>2293873</vt:i4>
      </vt:variant>
      <vt:variant>
        <vt:i4>21</vt:i4>
      </vt:variant>
      <vt:variant>
        <vt:i4>0</vt:i4>
      </vt:variant>
      <vt:variant>
        <vt:i4>5</vt:i4>
      </vt:variant>
      <vt:variant>
        <vt:lpwstr>http://www.healthcareimprovementscotland.org/previous_resources/audit_report/osteoporotic_fractures_audit.aspx</vt:lpwstr>
      </vt:variant>
      <vt:variant>
        <vt:lpwstr/>
      </vt:variant>
      <vt:variant>
        <vt:i4>2293873</vt:i4>
      </vt:variant>
      <vt:variant>
        <vt:i4>18</vt:i4>
      </vt:variant>
      <vt:variant>
        <vt:i4>0</vt:i4>
      </vt:variant>
      <vt:variant>
        <vt:i4>5</vt:i4>
      </vt:variant>
      <vt:variant>
        <vt:lpwstr>http://www.healthcareimprovementscotland.org/previous_resources/audit_report/osteoporotic_fractures_audit.aspx</vt:lpwstr>
      </vt:variant>
      <vt:variant>
        <vt:lpwstr/>
      </vt:variant>
      <vt:variant>
        <vt:i4>2293873</vt:i4>
      </vt:variant>
      <vt:variant>
        <vt:i4>15</vt:i4>
      </vt:variant>
      <vt:variant>
        <vt:i4>0</vt:i4>
      </vt:variant>
      <vt:variant>
        <vt:i4>5</vt:i4>
      </vt:variant>
      <vt:variant>
        <vt:lpwstr>http://www.healthcareimprovementscotland.org/previous_resources/audit_report/osteoporotic_fractures_audit.aspx</vt:lpwstr>
      </vt:variant>
      <vt:variant>
        <vt:lpwstr/>
      </vt:variant>
      <vt:variant>
        <vt:i4>2293873</vt:i4>
      </vt:variant>
      <vt:variant>
        <vt:i4>12</vt:i4>
      </vt:variant>
      <vt:variant>
        <vt:i4>0</vt:i4>
      </vt:variant>
      <vt:variant>
        <vt:i4>5</vt:i4>
      </vt:variant>
      <vt:variant>
        <vt:lpwstr>http://www.healthcareimprovementscotland.org/previous_resources/audit_report/osteoporotic_fractures_audit.aspx</vt:lpwstr>
      </vt:variant>
      <vt:variant>
        <vt:lpwstr/>
      </vt:variant>
      <vt:variant>
        <vt:i4>2293873</vt:i4>
      </vt:variant>
      <vt:variant>
        <vt:i4>9</vt:i4>
      </vt:variant>
      <vt:variant>
        <vt:i4>0</vt:i4>
      </vt:variant>
      <vt:variant>
        <vt:i4>5</vt:i4>
      </vt:variant>
      <vt:variant>
        <vt:lpwstr>http://www.healthcareimprovementscotland.org/previous_resources/audit_report/osteoporotic_fractures_audit.aspx</vt:lpwstr>
      </vt:variant>
      <vt:variant>
        <vt:lpwstr/>
      </vt:variant>
      <vt:variant>
        <vt:i4>2293873</vt:i4>
      </vt:variant>
      <vt:variant>
        <vt:i4>6</vt:i4>
      </vt:variant>
      <vt:variant>
        <vt:i4>0</vt:i4>
      </vt:variant>
      <vt:variant>
        <vt:i4>5</vt:i4>
      </vt:variant>
      <vt:variant>
        <vt:lpwstr>http://www.healthcareimprovementscotland.org/previous_resources/audit_report/osteoporotic_fractures_audit.aspx</vt:lpwstr>
      </vt:variant>
      <vt:variant>
        <vt:lpwstr/>
      </vt:variant>
      <vt:variant>
        <vt:i4>1376284</vt:i4>
      </vt:variant>
      <vt:variant>
        <vt:i4>3</vt:i4>
      </vt:variant>
      <vt:variant>
        <vt:i4>0</vt:i4>
      </vt:variant>
      <vt:variant>
        <vt:i4>5</vt:i4>
      </vt:variant>
      <vt:variant>
        <vt:lpwstr>https://www.nice.org.uk/guidance/cg146?unlid</vt:lpwstr>
      </vt:variant>
      <vt:variant>
        <vt:lpwstr/>
      </vt:variant>
      <vt:variant>
        <vt:i4>1376284</vt:i4>
      </vt:variant>
      <vt:variant>
        <vt:i4>0</vt:i4>
      </vt:variant>
      <vt:variant>
        <vt:i4>0</vt:i4>
      </vt:variant>
      <vt:variant>
        <vt:i4>5</vt:i4>
      </vt:variant>
      <vt:variant>
        <vt:lpwstr>https://www.nice.org.uk/guidance/cg146?unlid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Stanhope</dc:creator>
  <cp:keywords/>
  <cp:lastModifiedBy>Naomi Stanhope</cp:lastModifiedBy>
  <cp:revision>34</cp:revision>
  <dcterms:created xsi:type="dcterms:W3CDTF">2026-07-27T07:26:00Z</dcterms:created>
  <dcterms:modified xsi:type="dcterms:W3CDTF">2026-08-10T14:24:00Z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51ebf272-3c6d-4b38-8f75-691c229d9536</vt:lpwstr>
  </property>
  <property fmtid="{D5CDD505-2E9C-101B-9397-08002B2CF9AE}" pid="3" name="ContentTypeId">
    <vt:lpwstr>0x0101009A3574456A5AA64F8FAB1A91F40DCA7E</vt:lpwstr>
  </property>
</Properties>
</file>